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spacing w:before="120" w:beforeAutospacing="0" w:after="120" w:afterAutospacing="0" w:line="360" w:lineRule="auto"/>
        <w:rPr>
          <w:highlight w:val="none"/>
        </w:rPr>
      </w:pPr>
      <w:r>
        <w:rPr>
          <w:highlight w:val="none"/>
        </w:rPr>
        <w:t xml:space="preserve"> </w:t>
      </w:r>
      <w:r/>
    </w:p>
    <w:p>
      <w:pPr>
        <w:pStyle w:val="690"/>
        <w:jc w:val="center"/>
        <w:spacing w:before="120" w:beforeAutospacing="0" w:after="120" w:afterAutospacing="0" w:line="360" w:lineRule="auto"/>
        <w:rPr>
          <w:rFonts w:ascii="Arial" w:hAnsi="Arial" w:cs="Arial"/>
          <w:b/>
          <w:color w:val="000000"/>
          <w:sz w:val="84"/>
          <w:szCs w:val="84"/>
          <w:highlight w:val="none"/>
        </w:rPr>
      </w:pPr>
      <w:r>
        <w:rPr>
          <w:rFonts w:ascii="Arial" w:hAnsi="Arial" w:cs="Arial"/>
          <w:b/>
          <w:color w:val="000000"/>
          <w:sz w:val="84"/>
          <w:szCs w:val="84"/>
          <w:highlight w:val="none"/>
        </w:rPr>
      </w:r>
      <w:r/>
    </w:p>
    <w:p>
      <w:pPr>
        <w:pStyle w:val="690"/>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90"/>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0"/>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0"/>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90"/>
        <w:jc w:val="both"/>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时堰镇、海陵南路、富安镇、安丰镇2025年政府专职消防队装备器材采购项目</w:t>
      </w:r>
      <w:r/>
    </w:p>
    <w:p>
      <w:pPr>
        <w:pStyle w:val="690"/>
        <w:jc w:val="both"/>
        <w:spacing w:before="120" w:beforeAutospacing="0" w:after="120" w:afterAutospacing="0" w:line="360" w:lineRule="auto"/>
        <w:rPr>
          <w:highlight w:val="none"/>
        </w:rPr>
      </w:pPr>
      <w:r>
        <w:rPr>
          <w:highlight w:val="none"/>
        </w:rPr>
      </w:r>
      <w:r/>
    </w:p>
    <w:p>
      <w:pPr>
        <w:pStyle w:val="690"/>
        <w:jc w:val="both"/>
        <w:spacing w:before="120" w:beforeAutospacing="0" w:after="120" w:afterAutospacing="0" w:line="360" w:lineRule="auto"/>
        <w:rPr>
          <w:highlight w:val="none"/>
        </w:rPr>
      </w:pPr>
      <w:r>
        <w:rPr>
          <w:rFonts w:ascii="Arial" w:hAnsi="Arial" w:cs="Arial"/>
          <w:b/>
          <w:color w:val="000000"/>
          <w:sz w:val="32"/>
          <w:szCs w:val="32"/>
          <w:highlight w:val="none"/>
        </w:rPr>
        <w:t xml:space="preserve">项目编号：</w:t>
      </w:r>
      <w:r>
        <w:rPr>
          <w:rFonts w:hint="eastAsia" w:ascii="Arial" w:hAnsi="Arial" w:cs="Arial"/>
          <w:b/>
          <w:color w:val="000000"/>
          <w:sz w:val="32"/>
          <w:szCs w:val="32"/>
          <w:highlight w:val="none"/>
        </w:rPr>
        <w:t xml:space="preserve">JSZC-320981-YCCZ-G2025-0026</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spacing w:beforeAutospacing="0" w:afterAutospacing="0" w:line="360" w:lineRule="auto"/>
        <w:rPr>
          <w:highlight w:val="none"/>
        </w:rPr>
      </w:pPr>
      <w:r>
        <w:rPr>
          <w:highlight w:val="none"/>
        </w:rPr>
        <w:t xml:space="preserve"> </w:t>
      </w:r>
      <w:r/>
    </w:p>
    <w:p>
      <w:pPr>
        <w:pStyle w:val="690"/>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Arial" w:hAnsi="Arial" w:cs="Arial"/>
          <w:b/>
          <w:color w:val="000000"/>
          <w:sz w:val="32"/>
          <w:szCs w:val="32"/>
          <w:highlight w:val="none"/>
          <w:lang w:val="en-US" w:eastAsia="zh-CN"/>
        </w:rPr>
        <w:t xml:space="preserve">东台市东台镇人民政府</w:t>
      </w:r>
      <w:r/>
    </w:p>
    <w:p>
      <w:pPr>
        <w:pStyle w:val="690"/>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12</w:t>
      </w:r>
      <w:r>
        <w:rPr>
          <w:rFonts w:ascii="Arial" w:hAnsi="Arial" w:cs="Arial"/>
          <w:b/>
          <w:color w:val="000000"/>
          <w:sz w:val="32"/>
          <w:szCs w:val="32"/>
          <w:highlight w:val="none"/>
        </w:rPr>
        <w:t xml:space="preserve">月</w:t>
      </w:r>
      <w:r/>
    </w:p>
    <w:p>
      <w:pPr>
        <w:pStyle w:val="690"/>
        <w:spacing w:before="120" w:beforeAutospacing="0" w:after="120" w:afterAutospacing="0" w:line="360" w:lineRule="auto"/>
        <w:rPr>
          <w:highlight w:val="none"/>
        </w:rPr>
      </w:pPr>
      <w:r>
        <w:rPr>
          <w:rFonts w:ascii="Arial" w:hAnsi="Arial" w:cs="Arial"/>
          <w:color w:val="000000"/>
          <w:highlight w:val="none"/>
        </w:rPr>
        <w:t xml:space="preserve">                        </w:t>
      </w:r>
      <w:r/>
    </w:p>
    <w:p>
      <w:pPr>
        <w:pStyle w:val="690"/>
        <w:jc w:val="center"/>
        <w:spacing w:before="120" w:beforeAutospacing="0" w:after="120" w:afterAutospacing="0" w:line="360" w:lineRule="auto"/>
        <w:rPr>
          <w:highlight w:val="none"/>
        </w:rPr>
      </w:pPr>
      <w:r>
        <w:rPr>
          <w:highlight w:val="none"/>
        </w:rPr>
        <w:t xml:space="preserve"> </w:t>
      </w:r>
      <w:r/>
    </w:p>
    <w:p>
      <w:pPr>
        <w:pStyle w:val="690"/>
        <w:jc w:val="center"/>
        <w:spacing w:beforeAutospacing="0" w:afterAutospacing="0" w:line="480" w:lineRule="auto"/>
        <w:rPr>
          <w:rFonts w:ascii="Times New Roman" w:hAnsi="Times New Roman"/>
          <w:color w:val="000000"/>
          <w:sz w:val="21"/>
          <w:szCs w:val="21"/>
          <w:highlight w:val="none"/>
        </w:rPr>
        <w:sectPr>
          <w:headerReference w:type="default" r:id="rId9"/>
          <w:footerReference w:type="default" r:id="rId10"/>
          <w:footnotePr/>
          <w:endnotePr/>
          <w:type w:val="nextPage"/>
          <w:pgSz w:w="11906" w:h="16838" w:orient="portrait"/>
          <w:pgMar w:top="1440" w:right="1800" w:bottom="1440" w:left="1800" w:header="851" w:footer="794" w:gutter="0"/>
          <w:pgNumType w:start="0"/>
          <w:cols w:num="1" w:sep="0" w:space="425" w:equalWidth="1"/>
          <w:docGrid w:linePitch="360"/>
        </w:sectPr>
      </w:pPr>
      <w:r>
        <w:rPr>
          <w:rFonts w:ascii="Times New Roman" w:hAnsi="Times New Roman"/>
          <w:color w:val="000000"/>
          <w:sz w:val="21"/>
          <w:szCs w:val="21"/>
          <w:highlight w:val="none"/>
        </w:rPr>
      </w:r>
      <w:r/>
    </w:p>
    <w:p>
      <w:pPr>
        <w:pStyle w:val="690"/>
        <w:jc w:val="center"/>
        <w:spacing w:beforeAutospacing="0" w:afterAutospacing="0" w:line="480" w:lineRule="auto"/>
        <w:rPr>
          <w:highlight w:val="none"/>
        </w:rPr>
      </w:pPr>
      <w:r>
        <w:rPr>
          <w:rFonts w:ascii="Times New Roman" w:hAnsi="Times New Roman"/>
          <w:color w:val="000000"/>
          <w:sz w:val="21"/>
          <w:szCs w:val="21"/>
          <w:highlight w:val="none"/>
        </w:rPr>
        <w:t xml:space="preserve"> </w:t>
      </w:r>
      <w:bookmarkStart w:id="0" w:name="_Toc479757206"/>
      <w:r/>
      <w:bookmarkStart w:id="1" w:name="_Toc523127445"/>
      <w:r/>
      <w:bookmarkStart w:id="2" w:name="_Toc120614210"/>
      <w:r/>
      <w:bookmarkStart w:id="3" w:name="_Toc513029200"/>
      <w:r/>
      <w:bookmarkStart w:id="4" w:name="_Toc16938516"/>
      <w:r/>
      <w:bookmarkStart w:id="5" w:name="_Toc20823272"/>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90"/>
        <w:jc w:val="both"/>
        <w:spacing w:beforeAutospacing="0" w:afterAutospacing="0" w:line="480" w:lineRule="auto"/>
        <w:rPr>
          <w:highlight w:val="none"/>
        </w:rPr>
      </w:pPr>
      <w:r>
        <w:rPr>
          <w:highlight w:val="none"/>
        </w:rPr>
        <w:t xml:space="preserve"> </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w:t>
      </w:r>
      <w:r>
        <w:rPr>
          <w:rFonts w:hint="eastAsia" w:ascii="黑体" w:hAnsi="宋体" w:eastAsia="黑体" w:cs="黑体"/>
          <w:color w:val="000000"/>
          <w:sz w:val="36"/>
          <w:szCs w:val="36"/>
          <w:highlight w:val="none"/>
          <w:lang w:eastAsia="zh-CN"/>
        </w:rPr>
        <w:t xml:space="preserve">条款</w:t>
      </w:r>
      <w:r>
        <w:rPr>
          <w:rFonts w:hint="eastAsia" w:ascii="黑体" w:hAnsi="宋体" w:eastAsia="黑体" w:cs="黑体"/>
          <w:color w:val="000000"/>
          <w:sz w:val="36"/>
          <w:szCs w:val="36"/>
          <w:highlight w:val="none"/>
        </w:rPr>
        <w:t xml:space="preserve">……………………………………</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90"/>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center"/>
        <w:keepLines w:val="0"/>
        <w:keepNext w:val="0"/>
        <w:pageBreakBefore w:val="0"/>
        <w:spacing w:beforeAutospacing="0" w:after="181" w:afterAutospacing="0"/>
        <w:widowControl w:val="off"/>
        <w:rPr>
          <w:rFonts w:hint="default" w:eastAsia="黑体"/>
          <w:highlight w:val="none"/>
          <w:lang w:val="en-US" w:eastAsia="zh-CN"/>
        </w:rPr>
      </w:pPr>
      <w:r/>
      <w:bookmarkStart w:id="6" w:name="_Toc28359086"/>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p>
    <w:p>
      <w:pPr>
        <w:pStyle w:val="69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9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时堰镇、海陵南路、富安镇、安丰镇2025年政府专职消防队装备器材采购项目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rPr>
        <w:t xml:space="preserve">20日</w:t>
      </w:r>
      <w:r>
        <w:rPr>
          <w:rFonts w:hint="eastAsia" w:ascii="宋体" w:hAnsi="宋体" w:eastAsia="宋体" w:cs="宋体"/>
          <w:color w:val="000000"/>
          <w:sz w:val="24"/>
          <w:szCs w:val="24"/>
          <w:highlight w:val="none"/>
          <w:u w:val="single"/>
        </w:rPr>
        <w:t xml:space="preserve">9点</w:t>
      </w:r>
      <w:r>
        <w:rPr>
          <w:rFonts w:hint="eastAsia" w:ascii="宋体" w:hAnsi="宋体" w:eastAsia="宋体" w:cs="宋体"/>
          <w:color w:val="000000"/>
          <w:sz w:val="24"/>
          <w:szCs w:val="24"/>
          <w:highlight w:val="none"/>
          <w:u w:val="single"/>
        </w:rPr>
        <w:t xml:space="preserve">00分（</w:t>
      </w:r>
      <w:r>
        <w:rPr>
          <w:rFonts w:hint="eastAsia" w:ascii="宋体" w:hAnsi="宋体" w:eastAsia="宋体" w:cs="宋体"/>
          <w:color w:val="000000"/>
          <w:sz w:val="24"/>
          <w:szCs w:val="24"/>
          <w:highlight w:val="none"/>
        </w:rPr>
        <w:t xml:space="preserve">北京时间）前递交投标文件。</w:t>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7" w:name="_Toc28359079"/>
      <w:r/>
      <w:bookmarkStart w:id="8" w:name="_Toc38985263"/>
      <w:r/>
      <w:bookmarkStart w:id="9" w:name="_Toc35393790"/>
      <w:r/>
      <w:bookmarkStart w:id="10" w:name="_Hlk24379207"/>
      <w:r/>
      <w:bookmarkStart w:id="11" w:name="_Toc35393621"/>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90"/>
        <w:ind w:firstLine="480"/>
        <w:jc w:val="both"/>
        <w:pageBreakBefore w:val="0"/>
        <w:spacing w:beforeAutospacing="0" w:afterAutospacing="0" w:line="360" w:lineRule="auto"/>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1.项目编号：JSZC-320981-YCCZ-G2025-0026</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w:t>
      </w:r>
      <w:r>
        <w:rPr>
          <w:rFonts w:hint="eastAsia" w:ascii="宋体" w:hAnsi="宋体" w:eastAsia="宋体" w:cs="宋体"/>
          <w:color w:val="000000"/>
          <w:sz w:val="24"/>
          <w:szCs w:val="24"/>
          <w:highlight w:val="none"/>
          <w:shd w:val="clear" w:color="auto" w:fill="auto"/>
          <w:lang w:val="en-US" w:eastAsia="zh-CN"/>
        </w:rPr>
        <w:t xml:space="preserve">时堰镇、海陵南路、富安镇、安丰镇2025年政府专职消防队装备器材采购项目</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400.00万元</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ffffff" w:fill="d9d9d9"/>
          <w:lang w:val="en-US"/>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w:t>
      </w:r>
      <w:r>
        <w:rPr>
          <w:rFonts w:hint="eastAsia" w:ascii="宋体" w:hAnsi="宋体" w:eastAsia="宋体" w:cs="宋体"/>
          <w:i w:val="0"/>
          <w:iCs w:val="0"/>
          <w:caps w:val="0"/>
          <w:color w:val="333333"/>
          <w:spacing w:val="0"/>
          <w:sz w:val="24"/>
          <w:szCs w:val="24"/>
          <w:highlight w:val="none"/>
          <w:shd w:val="clear" w:color="auto" w:fill="ffffff"/>
          <w:lang w:eastAsia="zh-CN"/>
        </w:rPr>
        <w:t xml:space="preserve">包</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1：35.292万元；包2：26.02万元；包3：21.736万元；包4：20.16万元；包5：26.1万元；包6：44.654万元；包7：26.44万元：8包：150万元；包9：44.2万元</w:t>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lang w:val="en-US" w:eastAsia="zh-CN"/>
        </w:rPr>
        <w:t xml:space="preserve">时堰镇、海陵南路、富安镇、安丰镇2025年政府专职消防队装备器材采购。本项目分为9个包</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highlight w:val="none"/>
          <w:shd w:val="clear" w:color="auto" w:fill="auto"/>
        </w:rPr>
        <w:t xml:space="preserve">详</w:t>
      </w:r>
      <w:r>
        <w:rPr>
          <w:rFonts w:hint="eastAsia" w:ascii="宋体" w:hAnsi="宋体" w:eastAsia="宋体" w:cs="宋体"/>
          <w:color w:val="000000"/>
          <w:sz w:val="24"/>
          <w:szCs w:val="24"/>
          <w:highlight w:val="none"/>
        </w:rPr>
        <w:t xml:space="preserve">细内容见本</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文件第四章</w:t>
      </w:r>
      <w:r>
        <w:rPr>
          <w:rFonts w:hint="eastAsia" w:ascii="宋体" w:hAnsi="宋体" w:eastAsia="宋体" w:cs="宋体"/>
          <w:color w:val="000000"/>
          <w:sz w:val="24"/>
          <w:szCs w:val="24"/>
          <w:highlight w:val="none"/>
          <w:lang w:eastAsia="zh-CN"/>
        </w:rPr>
        <w:t xml:space="preserve">。</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rPr>
        <w:t xml:space="preserve">日历天内货物全部送达招标人指定位置且安装、调试完毕，并确保正常稳定运行</w:t>
      </w:r>
      <w:r>
        <w:rPr>
          <w:rFonts w:hint="eastAsia" w:ascii="宋体" w:hAnsi="宋体" w:eastAsia="宋体" w:cs="宋体"/>
          <w:color w:val="000000"/>
          <w:sz w:val="24"/>
          <w:szCs w:val="24"/>
          <w:highlight w:val="none"/>
          <w:lang w:eastAsia="zh-CN"/>
        </w:rPr>
        <w:t xml:space="preserve">。</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color w:val="333333"/>
          <w:szCs w:val="28"/>
          <w:shd w:val="clear" w:color="auto" w:fill="ffffff"/>
        </w:rPr>
        <w:t xml:space="preserve">本项目（</w:t>
      </w:r>
      <w:r>
        <w:rPr>
          <w:rFonts w:hint="eastAsia" w:ascii="宋体" w:hAnsi="宋体" w:eastAsia="宋体" w:cs="宋体"/>
          <w:i/>
          <w:iCs/>
          <w:color w:val="333333"/>
          <w:szCs w:val="28"/>
          <w:shd w:val="clear" w:color="auto" w:fill="ffffff"/>
        </w:rPr>
        <w:t xml:space="preserve">是/否</w:t>
      </w:r>
      <w:r>
        <w:rPr>
          <w:rFonts w:hint="eastAsia" w:ascii="宋体" w:hAnsi="宋体" w:eastAsia="宋体" w:cs="宋体"/>
          <w:color w:val="333333"/>
          <w:szCs w:val="28"/>
          <w:shd w:val="clear" w:color="auto" w:fill="ffffff"/>
        </w:rPr>
        <w:t xml:space="preserve">）接受联合体</w:t>
      </w:r>
      <w:r>
        <w:rPr>
          <w:rFonts w:hint="eastAsia" w:ascii="宋体" w:hAnsi="宋体" w:eastAsia="宋体" w:cs="宋体"/>
          <w:color w:val="000000"/>
          <w:szCs w:val="28"/>
        </w:rPr>
        <w:t xml:space="preserve">参与招标：否</w:t>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13" w:name="_Toc35393791"/>
      <w:r/>
      <w:bookmarkStart w:id="14" w:name="_Toc28359080"/>
      <w:r/>
      <w:bookmarkStart w:id="15" w:name="_Toc35393622"/>
      <w:r/>
      <w:bookmarkStart w:id="16" w:name="_Toc38985264"/>
      <w:r/>
      <w:bookmarkStart w:id="17" w:name="_Toc28359003"/>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90"/>
        <w:ind w:firstLine="480"/>
        <w:jc w:val="both"/>
        <w:pageBreakBefore w:val="0"/>
        <w:spacing w:beforeAutospacing="0" w:afterAutospacing="0" w:line="360" w:lineRule="auto"/>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2</w:t>
      </w:r>
      <w:r>
        <w:rPr>
          <w:rFonts w:hint="eastAsia" w:ascii="宋体" w:hAnsi="宋体" w:eastAsia="宋体" w:cs="宋体"/>
          <w:color w:val="000000"/>
          <w:sz w:val="24"/>
          <w:szCs w:val="24"/>
          <w:highlight w:val="none"/>
          <w:shd w:val="clear" w:color="auto" w:fill="auto"/>
          <w:lang w:val="en-US" w:eastAsia="zh-CN"/>
        </w:rPr>
        <w:t xml:space="preserve">.</w:t>
      </w:r>
      <w:r>
        <w:rPr>
          <w:rFonts w:hint="eastAsia" w:ascii="宋体" w:hAnsi="宋体" w:eastAsia="宋体" w:cs="宋体"/>
          <w:color w:val="000000"/>
          <w:sz w:val="24"/>
          <w:szCs w:val="24"/>
          <w:highlight w:val="none"/>
          <w:shd w:val="clear" w:color="auto" w:fill="auto"/>
        </w:rPr>
        <w:t xml:space="preserve">落实政府采购政策需满足的资格要求：无。</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rPr>
        <w:t xml:space="preserve">本项目的特定资格要求</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i w:val="0"/>
          <w:iCs w:val="0"/>
          <w:caps w:val="0"/>
          <w:color w:val="333333"/>
          <w:spacing w:val="0"/>
          <w:sz w:val="24"/>
          <w:szCs w:val="24"/>
          <w:highlight w:val="none"/>
          <w:u w:val="single"/>
          <w:shd w:val="clear" w:color="auto" w:fill="auto"/>
        </w:rPr>
        <w:t xml:space="preserve">投标人如委托被授权人参与，则被授权人须为本单位正式职工并提供投标人近期为被授权人缴纳的社会养老保险证明</w:t>
      </w:r>
      <w:r>
        <w:rPr>
          <w:rFonts w:hint="eastAsia" w:ascii="宋体" w:hAnsi="宋体" w:eastAsia="宋体" w:cs="宋体"/>
          <w:i w:val="0"/>
          <w:iCs w:val="0"/>
          <w:caps w:val="0"/>
          <w:color w:val="333333"/>
          <w:spacing w:val="0"/>
          <w:sz w:val="24"/>
          <w:szCs w:val="24"/>
          <w:highlight w:val="none"/>
          <w:u w:val="none"/>
          <w:shd w:val="clear" w:color="auto" w:fill="auto"/>
          <w:lang w:eastAsia="zh-CN"/>
        </w:rPr>
        <w:t xml:space="preserve">。</w:t>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624"/>
      <w:r/>
      <w:bookmarkStart w:id="19" w:name="_Toc28359082"/>
      <w:r/>
      <w:bookmarkStart w:id="20" w:name="_Toc28359005"/>
      <w:r/>
      <w:bookmarkStart w:id="21" w:name="_Toc38985266"/>
      <w:r/>
      <w:bookmarkStart w:id="22" w:name="_Toc35393793"/>
      <w:r>
        <w:rPr>
          <w:rFonts w:hint="eastAsia" w:ascii="宋体" w:hAnsi="宋体" w:eastAsia="宋体" w:cs="宋体"/>
          <w:color w:val="000000"/>
          <w:sz w:val="24"/>
          <w:szCs w:val="24"/>
          <w:highlight w:val="none"/>
          <w:shd w:val="clear" w:color="auto" w:fill="auto"/>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shd w:val="clear" w:color="auto" w:fill="auto"/>
        </w:rPr>
        <w:t xml:space="preserve">自招标文件公告发布之日起5个工作日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shd w:val="clear" w:color="auto" w:fill="auto"/>
          <w:lang w:val="en-US" w:eastAsia="zh-CN" w:bidi="ar-SA"/>
        </w:rPr>
        <w:suppressLineNumbers w:val="0"/>
      </w:pPr>
      <w:r>
        <w:rPr>
          <w:rFonts w:hint="eastAsia" w:ascii="宋体" w:hAnsi="宋体" w:eastAsia="宋体" w:cs="宋体"/>
          <w:color w:val="000000"/>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lang w:val="en-US" w:eastAsia="zh-CN"/>
        </w:rPr>
        <w:t xml:space="preserve">3.方式：本项目采用网上注册登记方式。 </w:t>
      </w:r>
      <w:r/>
    </w:p>
    <w:p>
      <w:pPr>
        <w:ind w:firstLine="480"/>
        <w:jc w:val="left"/>
        <w:pageBreakBefore w:val="0"/>
        <w:spacing w:line="360" w:lineRule="auto"/>
        <w:widowControl/>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shd w:val="clear" w:color="auto" w:fill="auto"/>
          <w:lang w:val="en-US" w:eastAsia="zh-CN"/>
        </w:rPr>
        <w:t xml:space="preserve">4.售价：0元</w:t>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shd w:val="clear" w:color="auto" w:fill="auto"/>
        </w:rPr>
        <w:t xml:space="preserve">1.时间：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333333"/>
          <w:spacing w:val="0"/>
          <w:sz w:val="24"/>
          <w:szCs w:val="24"/>
          <w:highlight w:val="none"/>
          <w:u w:val="single"/>
          <w:shd w:val="clear" w:color="auto" w:fill="auto"/>
        </w:rPr>
        <w:t xml:space="preserve">年</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1</w:t>
      </w:r>
      <w:r>
        <w:rPr>
          <w:rFonts w:hint="eastAsia" w:ascii="宋体" w:hAnsi="宋体" w:eastAsia="宋体" w:cs="宋体"/>
          <w:i w:val="0"/>
          <w:iCs w:val="0"/>
          <w:caps w:val="0"/>
          <w:color w:val="333333"/>
          <w:spacing w:val="0"/>
          <w:sz w:val="24"/>
          <w:szCs w:val="24"/>
          <w:highlight w:val="none"/>
          <w:u w:val="single"/>
          <w:shd w:val="clear" w:color="auto" w:fill="auto"/>
        </w:rPr>
        <w:t xml:space="preserve">月</w:t>
      </w:r>
      <w:r>
        <w:rPr>
          <w:rFonts w:hint="eastAsia" w:ascii="宋体" w:hAnsi="宋体" w:eastAsia="宋体" w:cs="宋体"/>
          <w:i w:val="0"/>
          <w:iCs w:val="0"/>
          <w:caps w:val="0"/>
          <w:color w:val="333333"/>
          <w:spacing w:val="0"/>
          <w:sz w:val="24"/>
          <w:szCs w:val="24"/>
          <w:highlight w:val="none"/>
          <w:u w:val="single"/>
          <w:shd w:val="clear" w:color="auto" w:fill="auto"/>
        </w:rPr>
        <w:t xml:space="preserve">20日</w:t>
      </w:r>
      <w:r>
        <w:rPr>
          <w:rFonts w:hint="eastAsia" w:ascii="宋体" w:hAnsi="宋体" w:eastAsia="宋体" w:cs="宋体"/>
          <w:i w:val="0"/>
          <w:iCs w:val="0"/>
          <w:caps w:val="0"/>
          <w:color w:val="333333"/>
          <w:spacing w:val="0"/>
          <w:sz w:val="24"/>
          <w:szCs w:val="24"/>
          <w:highlight w:val="none"/>
          <w:u w:val="single"/>
          <w:shd w:val="clear" w:color="auto" w:fill="auto"/>
          <w:lang w:val="en-US" w:eastAsia="zh-CN"/>
        </w:rPr>
        <w:t xml:space="preserve">9时00分</w:t>
      </w:r>
      <w:r>
        <w:rPr>
          <w:rFonts w:hint="eastAsia" w:ascii="宋体" w:hAnsi="宋体" w:eastAsia="宋体" w:cs="宋体"/>
          <w:color w:val="000000"/>
          <w:sz w:val="24"/>
          <w:szCs w:val="24"/>
          <w:highlight w:val="none"/>
          <w:shd w:val="clear" w:color="auto" w:fill="auto"/>
        </w:rPr>
        <w:t xml:space="preserve">（北京时间）</w:t>
      </w:r>
      <w:r/>
    </w:p>
    <w:p>
      <w:pPr>
        <w:pStyle w:val="690"/>
        <w:ind w:firstLine="480"/>
        <w:jc w:val="both"/>
        <w:pageBreakBefore w:val="0"/>
        <w:spacing w:beforeAutospacing="0" w:afterAutospacing="0" w:line="360" w:lineRule="auto"/>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rPr>
        <w:t xml:space="preserve">2.地点：苏采云“不见面”开标大厅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rPr>
      </w:pPr>
      <w:r/>
      <w:bookmarkStart w:id="23" w:name="_Toc28359007"/>
      <w:r/>
      <w:bookmarkStart w:id="24" w:name="_Toc38985267"/>
      <w:r/>
      <w:bookmarkStart w:id="25" w:name="_Toc35393794"/>
      <w:r/>
      <w:bookmarkStart w:id="26" w:name="_Toc28359084"/>
      <w:r/>
      <w:bookmarkStart w:id="27" w:name="_Toc35393625"/>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8" w:name="_Toc35393626"/>
      <w:r/>
      <w:bookmarkStart w:id="29" w:name="_Toc35393795"/>
      <w:r/>
      <w:bookmarkStart w:id="30"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8"/>
      <w:r/>
      <w:bookmarkEnd w:id="29"/>
      <w:r/>
      <w:bookmarkEnd w:id="30"/>
      <w:r/>
      <w:r/>
    </w:p>
    <w:p>
      <w:pPr>
        <w:pStyle w:val="690"/>
        <w:ind w:firstLine="482"/>
        <w:jc w:val="both"/>
        <w:keepLines/>
        <w:keepNext/>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1" w:name="_Toc2835901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2.2 潜在投标人访问“苏采云”系统方法：江苏省政府采购网首页-“苏采云”链接。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2.3 采购文件（后缀名为“.kedt”）、供应商操作手册及政府采购客户端 工具可通过“苏采云”系统相应链接进行下载。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2.4 采购代理机构将数据电文形式的采购文件加载至“苏采云”系统，供潜在供应商下载或者查阅。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如潜在投标人未按上述要求操作，将自行承担所产生的风险。</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江苏政府采购网”“盐城市政府采购网”发布的更正公告。</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4.本次招标不收取投标保证金，不收取质量保证金。</w:t>
      </w:r>
      <w:r/>
    </w:p>
    <w:p>
      <w:pPr>
        <w:pStyle w:val="682"/>
        <w:ind w:left="0" w:right="0" w:firstLine="48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val="0"/>
          <w:bCs w:val="0"/>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val="0"/>
          <w:bCs w:val="0"/>
          <w:i w:val="0"/>
          <w:iCs w:val="0"/>
          <w:caps w:val="0"/>
          <w:color w:val="333333"/>
          <w:spacing w:val="0"/>
          <w:sz w:val="24"/>
          <w:szCs w:val="24"/>
          <w:highlight w:val="none"/>
          <w:u w:val="none"/>
          <w:shd w:val="clear" w:color="auto" w:fill="ffffff"/>
        </w:rPr>
        <w:t xml:space="preserve">提出询问，请按以下方式联系。</w:t>
      </w:r>
      <w:bookmarkEnd w:id="31"/>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称：东台市东台镇人民政府</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址：东台市宁树路199号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联系人：桂先生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联系方式：15351517758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称：盐城超卓工程咨询有限公司</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址：东台市北海西路3号聚龙双苑7幢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联系人：邓女士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w:t>
      </w:r>
      <w:bookmarkStart w:id="32" w:name="_Toc28359087"/>
      <w:r/>
      <w:bookmarkStart w:id="33" w:name="_Toc28359010"/>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18051703498       </w:t>
      </w:r>
      <w:bookmarkEnd w:id="32"/>
      <w:r/>
      <w:bookmarkEnd w:id="33"/>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34" w:name="_Toc28359021"/>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bookmarkEnd w:id="34"/>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项目联系方式</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项目联系人：桂先生、邓女士</w:t>
      </w:r>
      <w:r/>
    </w:p>
    <w:p>
      <w:pPr>
        <w:pStyle w:val="690"/>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话：15351517758、18051703498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br w:type="page" w:clear="all"/>
      </w:r>
      <w:bookmarkStart w:id="35" w:name="_Toc120614211"/>
      <w:r/>
      <w:bookmarkEnd w:id="35"/>
      <w:r/>
    </w:p>
    <w:p>
      <w:pPr>
        <w:ind w:firstLine="883"/>
        <w:jc w:val="center"/>
        <w:keepLines/>
        <w:keepNext/>
        <w:spacing w:line="360" w:lineRule="auto"/>
        <w:widowControl w:val="off"/>
        <w:rPr>
          <w:rFonts w:hint="default" w:ascii="Calibri" w:hAnsi="Calibri" w:eastAsia="黑体" w:cs="Times New Roman"/>
          <w:b/>
          <w:bCs/>
          <w:sz w:val="44"/>
          <w:szCs w:val="44"/>
        </w:rPr>
        <w:outlineLvl w:val="0"/>
      </w:pPr>
      <w:r/>
      <w:bookmarkStart w:id="36" w:name="_Toc211901902"/>
      <w:r/>
      <w:bookmarkStart w:id="37" w:name="_Hlt26954739"/>
      <w:r/>
      <w:bookmarkStart w:id="38" w:name="_Toc513029226"/>
      <w:r/>
      <w:bookmarkStart w:id="39" w:name="_Hlt26670360"/>
      <w:r/>
      <w:bookmarkStart w:id="40" w:name="_Hlt26954848"/>
      <w:r/>
      <w:bookmarkStart w:id="41" w:name="_Hlt26954846"/>
      <w:r/>
      <w:bookmarkStart w:id="42" w:name="_Hlt26670486"/>
      <w:r/>
      <w:bookmarkStart w:id="43" w:name="_Hlt26954838"/>
      <w:r/>
      <w:bookmarkStart w:id="44" w:name="_Hlt26954731"/>
      <w:r/>
      <w:bookmarkStart w:id="45" w:name="_Hlt16619475"/>
      <w:r/>
      <w:bookmarkStart w:id="46" w:name="_Hlt26668975"/>
      <w:r/>
      <w:bookmarkStart w:id="47" w:name="_Hlt26670482"/>
      <w:r/>
      <w:bookmarkStart w:id="48" w:name="_Hlt26954852"/>
      <w:r>
        <w:rPr>
          <w:rFonts w:hint="eastAsia" w:ascii="Calibri" w:hAnsi="Calibri" w:eastAsia="黑体" w:cs="Times New Roman"/>
          <w:b/>
          <w:bCs/>
          <w:sz w:val="44"/>
          <w:szCs w:val="44"/>
        </w:rPr>
        <w:t xml:space="preserve">第二章  </w:t>
      </w:r>
      <w:bookmarkStart w:id="49" w:name="_Toc16938518"/>
      <w:r/>
      <w:bookmarkStart w:id="50" w:name="_Toc120614213"/>
      <w:r/>
      <w:bookmarkStart w:id="51" w:name="_Toc513029202"/>
      <w:r/>
      <w:bookmarkStart w:id="52" w:name="_Toc20823274"/>
      <w:r>
        <w:rPr>
          <w:rFonts w:hint="eastAsia" w:ascii="Calibri" w:hAnsi="Calibri" w:eastAsia="黑体" w:cs="Times New Roman"/>
          <w:b/>
          <w:bCs/>
          <w:sz w:val="44"/>
          <w:szCs w:val="44"/>
        </w:rPr>
        <w:t xml:space="preserve">投标人须知</w:t>
      </w:r>
      <w:bookmarkEnd w:id="36"/>
      <w:r/>
      <w:bookmarkEnd w:id="49"/>
      <w:r/>
      <w:bookmarkEnd w:id="50"/>
      <w:r/>
      <w:bookmarkEnd w:id="51"/>
      <w:r/>
      <w:bookmarkEnd w:id="52"/>
      <w:r/>
      <w:r/>
    </w:p>
    <w:p>
      <w:pPr>
        <w:ind w:firstLine="602"/>
        <w:spacing w:line="360" w:lineRule="auto"/>
        <w:widowControl w:val="off"/>
        <w:rPr>
          <w:rFonts w:hint="default" w:ascii="宋体" w:hAnsi="宋体" w:eastAsia="宋体" w:cs="Times New Roman"/>
          <w:b/>
          <w:bCs/>
          <w:sz w:val="24"/>
          <w:szCs w:val="24"/>
        </w:rPr>
        <w:outlineLvl w:val="1"/>
      </w:pPr>
      <w:r/>
      <w:bookmarkStart w:id="53" w:name="_Toc184145580"/>
      <w:r/>
      <w:bookmarkStart w:id="54" w:name="_Toc513029203"/>
      <w:r/>
      <w:bookmarkStart w:id="55" w:name="_Toc20823275"/>
      <w:r/>
      <w:bookmarkStart w:id="56" w:name="_Toc120614214"/>
      <w:r/>
      <w:bookmarkStart w:id="57" w:name="_Toc16938519"/>
      <w:r/>
      <w:bookmarkStart w:id="58" w:name="_Toc211901903"/>
      <w:r>
        <w:rPr>
          <w:rFonts w:hint="eastAsia" w:ascii="宋体" w:hAnsi="宋体" w:eastAsia="宋体" w:cs="Times New Roman"/>
          <w:b/>
          <w:bCs/>
          <w:sz w:val="24"/>
          <w:szCs w:val="24"/>
        </w:rPr>
        <w:t xml:space="preserve">一、总则</w:t>
      </w:r>
      <w:bookmarkEnd w:id="53"/>
      <w:r/>
      <w:bookmarkEnd w:id="54"/>
      <w:r/>
      <w:bookmarkEnd w:id="55"/>
      <w:r/>
      <w:bookmarkEnd w:id="56"/>
      <w:r/>
      <w:bookmarkEnd w:id="57"/>
      <w:r/>
      <w:bookmarkEnd w:id="58"/>
      <w:r/>
      <w:r/>
    </w:p>
    <w:p>
      <w:pPr>
        <w:ind w:firstLine="560"/>
        <w:jc w:val="left"/>
        <w:spacing w:line="360" w:lineRule="auto"/>
        <w:rPr>
          <w:rFonts w:hint="default" w:ascii="Calibri" w:hAnsi="Calibri" w:eastAsia="Arial" w:cs="Times New Roman"/>
          <w:sz w:val="24"/>
          <w:szCs w:val="24"/>
        </w:rPr>
      </w:pPr>
      <w:r/>
      <w:bookmarkStart w:id="59" w:name="_Toc20823276"/>
      <w:r/>
      <w:bookmarkStart w:id="60" w:name="_Toc458694821"/>
      <w:r/>
      <w:bookmarkStart w:id="61" w:name="_Toc16938520"/>
      <w:r/>
      <w:bookmarkStart w:id="62" w:name="_Toc513029204"/>
      <w:r>
        <w:rPr>
          <w:rFonts w:hint="default" w:ascii="Arial" w:hAnsi="Arial" w:eastAsia="Arial" w:cs="Arial"/>
          <w:color w:val="000000"/>
          <w:sz w:val="24"/>
          <w:szCs w:val="24"/>
        </w:rPr>
        <w:t xml:space="preserve">1</w:t>
      </w:r>
      <w:bookmarkEnd w:id="59"/>
      <w:r>
        <w:rPr>
          <w:rFonts w:hint="default" w:ascii="Arial" w:hAnsi="Arial" w:eastAsia="Arial" w:cs="Arial"/>
          <w:color w:val="000000"/>
          <w:sz w:val="24"/>
          <w:szCs w:val="24"/>
        </w:rPr>
        <w:t xml:space="preserve">、招标方式</w:t>
      </w:r>
      <w:bookmarkEnd w:id="60"/>
      <w:r/>
      <w:bookmarkEnd w:id="61"/>
      <w:r/>
      <w:bookmarkEnd w:id="62"/>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firstLine="560"/>
        <w:jc w:val="left"/>
        <w:spacing w:line="360" w:lineRule="auto"/>
        <w:rPr>
          <w:rFonts w:hint="default" w:ascii="Calibri" w:hAnsi="Calibri" w:eastAsia="Arial" w:cs="Times New Roman"/>
          <w:sz w:val="24"/>
          <w:szCs w:val="24"/>
        </w:rPr>
      </w:pPr>
      <w:r/>
      <w:bookmarkStart w:id="63" w:name="_Toc16938521"/>
      <w:r/>
      <w:bookmarkStart w:id="64" w:name="_Toc513029205"/>
      <w:r/>
      <w:bookmarkStart w:id="65" w:name="_Toc20823277"/>
      <w:r>
        <w:rPr>
          <w:rFonts w:hint="default" w:ascii="Arial" w:hAnsi="Arial" w:eastAsia="Arial" w:cs="Arial"/>
          <w:color w:val="000000"/>
          <w:sz w:val="24"/>
          <w:szCs w:val="24"/>
        </w:rPr>
        <w:t xml:space="preserve">2、合格的投标人</w:t>
      </w:r>
      <w:bookmarkEnd w:id="63"/>
      <w:r/>
      <w:bookmarkEnd w:id="64"/>
      <w:r/>
      <w:bookmarkEnd w:id="65"/>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2.1满足招标公告中供应商的资格要求的规定。</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2.2 满足本文件实质性要求和条件的规定。</w:t>
      </w:r>
      <w:r/>
    </w:p>
    <w:p>
      <w:pPr>
        <w:ind w:firstLine="560"/>
        <w:jc w:val="left"/>
        <w:spacing w:line="360" w:lineRule="auto"/>
        <w:rPr>
          <w:rFonts w:hint="default" w:ascii="Calibri" w:hAnsi="Calibri" w:eastAsia="Arial" w:cs="Times New Roman"/>
          <w:sz w:val="24"/>
          <w:szCs w:val="24"/>
        </w:rPr>
      </w:pPr>
      <w:r/>
      <w:bookmarkStart w:id="66" w:name="_Toc513029206"/>
      <w:r/>
      <w:bookmarkStart w:id="67" w:name="_Toc16938522"/>
      <w:r/>
      <w:bookmarkStart w:id="68" w:name="_Toc20823278"/>
      <w:r>
        <w:rPr>
          <w:rFonts w:hint="default" w:ascii="Arial" w:hAnsi="Arial" w:eastAsia="Arial" w:cs="Arial"/>
          <w:color w:val="000000"/>
          <w:sz w:val="24"/>
          <w:szCs w:val="24"/>
        </w:rPr>
        <w:t xml:space="preserve">3、适用法律</w:t>
      </w:r>
      <w:bookmarkEnd w:id="66"/>
      <w:r/>
      <w:bookmarkEnd w:id="67"/>
      <w:r/>
      <w:bookmarkEnd w:id="68"/>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3.1 本次招标及由此产生的合同受中华人民共和国有关的法律法规制约和保护。</w:t>
      </w:r>
      <w:r/>
    </w:p>
    <w:p>
      <w:pPr>
        <w:ind w:firstLine="560"/>
        <w:jc w:val="left"/>
        <w:spacing w:line="360" w:lineRule="auto"/>
        <w:rPr>
          <w:rFonts w:hint="default" w:ascii="Calibri" w:hAnsi="Calibri" w:eastAsia="Arial" w:cs="Times New Roman"/>
          <w:sz w:val="24"/>
          <w:szCs w:val="24"/>
        </w:rPr>
      </w:pPr>
      <w:r/>
      <w:bookmarkStart w:id="69" w:name="_Toc20823279"/>
      <w:r/>
      <w:bookmarkStart w:id="70" w:name="_Toc513029207"/>
      <w:r/>
      <w:bookmarkStart w:id="71" w:name="_Toc16938523"/>
      <w:r/>
      <w:bookmarkStart w:id="72" w:name="_Toc462564067"/>
      <w:r>
        <w:rPr>
          <w:rFonts w:hint="default" w:ascii="Arial" w:hAnsi="Arial" w:eastAsia="Arial" w:cs="Arial"/>
          <w:color w:val="000000"/>
          <w:sz w:val="24"/>
          <w:szCs w:val="24"/>
        </w:rPr>
        <w:t xml:space="preserve">4、投标费用</w:t>
      </w:r>
      <w:bookmarkEnd w:id="69"/>
      <w:r/>
      <w:bookmarkEnd w:id="70"/>
      <w:r/>
      <w:bookmarkEnd w:id="71"/>
      <w:r/>
      <w:bookmarkEnd w:id="72"/>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4.1 投标人应自行承担所有与参加投标有关的费用，无论投标过程中的做法和结果如何，采购人在任何情况下均无义务和责任承担这些费用。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4.2本次招标采购人不收取标书工本费与中标服务费。</w:t>
      </w:r>
      <w:r/>
    </w:p>
    <w:p>
      <w:pPr>
        <w:ind w:firstLine="602"/>
        <w:jc w:val="left"/>
        <w:spacing w:line="360" w:lineRule="auto"/>
        <w:rPr>
          <w:rFonts w:hint="default" w:ascii="Calibri" w:hAnsi="Calibri" w:eastAsia="Arial" w:cs="Times New Roman"/>
          <w:sz w:val="24"/>
          <w:szCs w:val="24"/>
        </w:rPr>
      </w:pPr>
      <w:r>
        <w:rPr>
          <w:rFonts w:hint="eastAsia" w:ascii="宋体" w:hAnsi="宋体" w:eastAsia="宋体" w:cs="宋体"/>
          <w:b/>
          <w:color w:val="000000"/>
          <w:sz w:val="24"/>
          <w:szCs w:val="24"/>
        </w:rPr>
        <w:t xml:space="preserve">5、</w:t>
      </w:r>
      <w:r>
        <w:rPr>
          <w:rFonts w:hint="eastAsia" w:ascii="黑体" w:hAnsi="宋体" w:eastAsia="黑体" w:cs="黑体"/>
          <w:color w:val="000000"/>
          <w:sz w:val="24"/>
          <w:szCs w:val="24"/>
        </w:rPr>
        <w:t xml:space="preserve">招标文件的约束力</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5.1 投标人一旦参加本项目采购活动，即被认为接受了本招标文件的规定和约束。</w:t>
      </w:r>
      <w:r/>
    </w:p>
    <w:p>
      <w:pPr>
        <w:ind w:firstLine="602"/>
        <w:spacing w:line="360" w:lineRule="auto"/>
        <w:widowControl w:val="off"/>
        <w:rPr>
          <w:rFonts w:hint="default" w:ascii="宋体" w:hAnsi="宋体" w:eastAsia="宋体" w:cs="Times New Roman"/>
          <w:b/>
          <w:bCs/>
          <w:sz w:val="24"/>
          <w:szCs w:val="24"/>
        </w:rPr>
        <w:outlineLvl w:val="1"/>
      </w:pPr>
      <w:r/>
      <w:bookmarkStart w:id="73" w:name="_Toc184145581"/>
      <w:r/>
      <w:bookmarkStart w:id="74" w:name="_Toc20823281"/>
      <w:r/>
      <w:bookmarkStart w:id="75" w:name="_Toc211901904"/>
      <w:r/>
      <w:bookmarkStart w:id="76" w:name="_Toc513029209"/>
      <w:r/>
      <w:bookmarkStart w:id="77" w:name="_Toc16938525"/>
      <w:r/>
      <w:bookmarkStart w:id="78" w:name="_Toc120614215"/>
      <w:r>
        <w:rPr>
          <w:rFonts w:hint="eastAsia" w:ascii="宋体" w:hAnsi="宋体" w:eastAsia="宋体" w:cs="Times New Roman"/>
          <w:b/>
          <w:bCs/>
          <w:sz w:val="24"/>
          <w:szCs w:val="24"/>
        </w:rPr>
        <w:t xml:space="preserve">二、招标文件</w:t>
      </w:r>
      <w:bookmarkEnd w:id="73"/>
      <w:r/>
      <w:bookmarkEnd w:id="74"/>
      <w:r/>
      <w:bookmarkEnd w:id="75"/>
      <w:r/>
      <w:bookmarkEnd w:id="76"/>
      <w:r/>
      <w:bookmarkEnd w:id="77"/>
      <w:r/>
      <w:bookmarkEnd w:id="78"/>
      <w:r/>
      <w:r/>
    </w:p>
    <w:p>
      <w:pPr>
        <w:ind w:firstLine="560"/>
        <w:jc w:val="left"/>
        <w:spacing w:line="360" w:lineRule="auto"/>
        <w:rPr>
          <w:rFonts w:hint="default" w:ascii="Calibri" w:hAnsi="Calibri" w:eastAsia="Arial" w:cs="Times New Roman"/>
          <w:sz w:val="24"/>
          <w:szCs w:val="24"/>
        </w:rPr>
      </w:pPr>
      <w:r/>
      <w:bookmarkStart w:id="79" w:name="_Toc16938526"/>
      <w:r/>
      <w:bookmarkStart w:id="80" w:name="_Toc513029210"/>
      <w:r/>
      <w:bookmarkStart w:id="81" w:name="_Toc20823282"/>
      <w:r>
        <w:rPr>
          <w:rFonts w:hint="default" w:ascii="Arial" w:hAnsi="Arial" w:eastAsia="Arial" w:cs="Arial"/>
          <w:color w:val="000000"/>
          <w:sz w:val="24"/>
          <w:szCs w:val="24"/>
        </w:rPr>
        <w:t xml:space="preserve">6、招标文件构成</w:t>
      </w:r>
      <w:bookmarkEnd w:id="79"/>
      <w:r/>
      <w:bookmarkEnd w:id="80"/>
      <w:r/>
      <w:bookmarkEnd w:id="81"/>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6.1 招标文件由以下部分组成：</w:t>
      </w:r>
      <w:r/>
    </w:p>
    <w:p>
      <w:pPr>
        <w:ind w:firstLine="560"/>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（1）招标公告</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（2）投标人须知</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（3）合同文本</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（4）采购需求</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（5）</w:t>
      </w:r>
      <w:r>
        <w:rPr>
          <w:rFonts w:hint="default" w:ascii="Times New Roman" w:hAnsi="Times New Roman" w:eastAsia="Arial" w:cs="Times New Roman"/>
          <w:color w:val="000000"/>
          <w:sz w:val="24"/>
          <w:szCs w:val="24"/>
        </w:rPr>
        <w:t xml:space="preserve">评标方法与评标标准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（6）投标文件格式</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请仔细检查招标文件是否齐全，如有缺漏请立即与采购人联系解决。</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jc w:val="left"/>
        <w:spacing w:line="360" w:lineRule="auto"/>
        <w:rPr>
          <w:rFonts w:hint="default" w:ascii="Calibri" w:hAnsi="Calibri" w:eastAsia="Arial" w:cs="Times New Roman"/>
          <w:sz w:val="24"/>
          <w:szCs w:val="24"/>
        </w:rPr>
      </w:pPr>
      <w:r/>
      <w:bookmarkStart w:id="82" w:name="_Toc16938527"/>
      <w:r/>
      <w:bookmarkStart w:id="83" w:name="_Toc513029211"/>
      <w:r/>
      <w:bookmarkStart w:id="84" w:name="_Toc462564070"/>
      <w:r/>
      <w:bookmarkStart w:id="85" w:name="_Toc20823283"/>
      <w:r>
        <w:rPr>
          <w:rFonts w:hint="default" w:ascii="Arial" w:hAnsi="Arial" w:eastAsia="Arial" w:cs="Arial"/>
          <w:color w:val="000000"/>
          <w:sz w:val="24"/>
          <w:szCs w:val="24"/>
        </w:rPr>
        <w:t xml:space="preserve">7、招标文件的澄清</w:t>
      </w:r>
      <w:bookmarkEnd w:id="82"/>
      <w:r/>
      <w:bookmarkEnd w:id="83"/>
      <w:r/>
      <w:bookmarkEnd w:id="84"/>
      <w:r/>
      <w:bookmarkEnd w:id="85"/>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7.1 任何要求对招标文件进行澄清的投标人，应在投标截止期</w:t>
      </w:r>
      <w:r>
        <w:rPr>
          <w:rFonts w:hint="default" w:ascii="仿宋_GB2312" w:hAnsi="Calibri" w:eastAsia="仿宋_GB2312" w:cs="仿宋_GB2312"/>
          <w:b/>
          <w:color w:val="000000"/>
          <w:sz w:val="24"/>
          <w:szCs w:val="24"/>
        </w:rPr>
        <w:t xml:space="preserve">十日</w:t>
      </w:r>
      <w:r>
        <w:rPr>
          <w:rFonts w:hint="default" w:ascii="仿宋_GB2312" w:hAnsi="Calibri" w:eastAsia="仿宋_GB2312" w:cs="仿宋_GB2312"/>
          <w:color w:val="000000"/>
          <w:sz w:val="24"/>
          <w:szCs w:val="24"/>
        </w:rPr>
        <w:t xml:space="preserve">前</w:t>
      </w:r>
      <w:r>
        <w:rPr>
          <w:rFonts w:hint="eastAsia" w:ascii="宋体" w:hAnsi="宋体" w:eastAsia="宋体" w:cs="宋体"/>
          <w:color w:val="000000"/>
          <w:sz w:val="24"/>
          <w:szCs w:val="24"/>
        </w:rPr>
        <w:t xml:space="preserve">按招标公告中的通讯地址，以书面形式通知采购人。</w:t>
      </w:r>
      <w:r/>
    </w:p>
    <w:p>
      <w:pPr>
        <w:ind w:firstLine="560"/>
        <w:jc w:val="left"/>
        <w:spacing w:line="360" w:lineRule="auto"/>
        <w:rPr>
          <w:rFonts w:hint="default" w:ascii="Calibri" w:hAnsi="Calibri" w:eastAsia="Arial" w:cs="Times New Roman"/>
          <w:sz w:val="24"/>
          <w:szCs w:val="24"/>
        </w:rPr>
      </w:pPr>
      <w:r/>
      <w:bookmarkStart w:id="86" w:name="_Toc20823284"/>
      <w:r/>
      <w:bookmarkStart w:id="87" w:name="_Toc16938528"/>
      <w:r/>
      <w:bookmarkStart w:id="88" w:name="_Toc513029212"/>
      <w:r/>
      <w:bookmarkStart w:id="89" w:name="_Toc462564071"/>
      <w:r>
        <w:rPr>
          <w:rFonts w:hint="default" w:ascii="Arial" w:hAnsi="Arial" w:eastAsia="Arial" w:cs="Arial"/>
          <w:color w:val="000000"/>
          <w:sz w:val="24"/>
          <w:szCs w:val="24"/>
        </w:rPr>
        <w:t xml:space="preserve">8、招标文件的修改</w:t>
      </w:r>
      <w:bookmarkEnd w:id="86"/>
      <w:r/>
      <w:bookmarkEnd w:id="87"/>
      <w:r/>
      <w:bookmarkEnd w:id="88"/>
      <w:r/>
      <w:bookmarkEnd w:id="89"/>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8.1 在投标截止时间</w:t>
      </w:r>
      <w:r>
        <w:rPr>
          <w:rFonts w:hint="default" w:ascii="仿宋_GB2312" w:hAnsi="Calibri" w:eastAsia="仿宋_GB2312" w:cs="仿宋_GB2312"/>
          <w:color w:val="000000"/>
          <w:sz w:val="24"/>
          <w:szCs w:val="24"/>
        </w:rPr>
        <w:t xml:space="preserve">前</w:t>
      </w:r>
      <w:r>
        <w:rPr>
          <w:rFonts w:hint="eastAsia" w:ascii="宋体" w:hAnsi="宋体" w:eastAsia="宋体" w:cs="宋体"/>
          <w:color w:val="000000"/>
          <w:sz w:val="24"/>
          <w:szCs w:val="24"/>
        </w:rPr>
        <w:t xml:space="preserve">，采购人可以对招标文件进行修改。</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8.2 采购人有权按照法定的要求推迟投标截止日期和开标日期。</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8.3 招标文件的修改将在</w:t>
      </w:r>
      <w:r>
        <w:rPr>
          <w:rFonts w:hint="eastAsia" w:ascii="仿宋" w:hAnsi="仿宋" w:eastAsia="Arial" w:cs="仿宋"/>
          <w:color w:val="000000"/>
          <w:sz w:val="24"/>
          <w:szCs w:val="24"/>
        </w:rPr>
        <w:t xml:space="preserve">中国政府采购网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江苏政府采购网、盐城市政府采购网公布，补充文件将作为招标文件的组成部分，并对投标人具有约束力。</w:t>
      </w:r>
      <w:r/>
    </w:p>
    <w:p>
      <w:pPr>
        <w:ind w:firstLine="602"/>
        <w:spacing w:line="360" w:lineRule="auto"/>
        <w:widowControl w:val="off"/>
        <w:rPr>
          <w:rFonts w:hint="default" w:ascii="宋体" w:hAnsi="宋体" w:eastAsia="宋体" w:cs="Times New Roman"/>
          <w:b/>
          <w:bCs/>
          <w:sz w:val="24"/>
          <w:szCs w:val="24"/>
        </w:rPr>
        <w:outlineLvl w:val="1"/>
      </w:pPr>
      <w:r/>
      <w:bookmarkStart w:id="90" w:name="_Toc16938529"/>
      <w:r/>
      <w:bookmarkStart w:id="91" w:name="_Toc462564072"/>
      <w:r/>
      <w:bookmarkStart w:id="92" w:name="_Toc513029213"/>
      <w:r/>
      <w:bookmarkStart w:id="93" w:name="_Toc211901905"/>
      <w:r/>
      <w:bookmarkStart w:id="94" w:name="_Toc184145582"/>
      <w:r/>
      <w:bookmarkStart w:id="95" w:name="_Toc120614216"/>
      <w:r/>
      <w:bookmarkStart w:id="96" w:name="_Toc20823285"/>
      <w:r>
        <w:rPr>
          <w:rFonts w:hint="eastAsia" w:ascii="宋体" w:hAnsi="宋体" w:eastAsia="宋体" w:cs="Times New Roman"/>
          <w:b/>
          <w:bCs/>
          <w:sz w:val="24"/>
          <w:szCs w:val="24"/>
        </w:rPr>
        <w:t xml:space="preserve">三、投标文件的编制</w:t>
      </w:r>
      <w:bookmarkEnd w:id="90"/>
      <w:r/>
      <w:bookmarkEnd w:id="91"/>
      <w:r/>
      <w:bookmarkEnd w:id="92"/>
      <w:r/>
      <w:bookmarkEnd w:id="93"/>
      <w:r/>
      <w:bookmarkEnd w:id="94"/>
      <w:r/>
      <w:bookmarkEnd w:id="95"/>
      <w:r/>
      <w:bookmarkEnd w:id="96"/>
      <w:r/>
      <w:r/>
    </w:p>
    <w:p>
      <w:pPr>
        <w:ind w:firstLine="560"/>
        <w:jc w:val="left"/>
        <w:spacing w:line="360" w:lineRule="auto"/>
        <w:rPr>
          <w:rFonts w:hint="default" w:ascii="Calibri" w:hAnsi="Calibri" w:eastAsia="Arial" w:cs="Times New Roman"/>
          <w:sz w:val="24"/>
          <w:szCs w:val="24"/>
        </w:rPr>
      </w:pPr>
      <w:r/>
      <w:bookmarkStart w:id="97" w:name="_Toc513029214"/>
      <w:r/>
      <w:bookmarkStart w:id="98" w:name="_Toc462564073"/>
      <w:r/>
      <w:bookmarkStart w:id="99" w:name="_Toc20823286"/>
      <w:r/>
      <w:bookmarkStart w:id="100" w:name="_Toc16938530"/>
      <w:r>
        <w:rPr>
          <w:rFonts w:hint="default" w:ascii="Arial" w:hAnsi="Arial" w:eastAsia="Arial" w:cs="Arial"/>
          <w:color w:val="000000"/>
          <w:sz w:val="24"/>
          <w:szCs w:val="24"/>
        </w:rPr>
        <w:t xml:space="preserve">9、投标文件的语言及度量衡单位</w:t>
      </w:r>
      <w:bookmarkEnd w:id="97"/>
      <w:r/>
      <w:bookmarkEnd w:id="98"/>
      <w:r/>
      <w:bookmarkEnd w:id="99"/>
      <w:r/>
      <w:bookmarkEnd w:id="100"/>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9.1 投标人提交的投标文件以及投标人与采购人就有关投标的所有来往通知、函件和文件均应使用</w:t>
      </w:r>
      <w:r>
        <w:rPr>
          <w:rFonts w:hint="eastAsia" w:ascii="宋体" w:hAnsi="宋体" w:eastAsia="宋体" w:cs="宋体"/>
          <w:b/>
          <w:color w:val="000000"/>
          <w:sz w:val="24"/>
          <w:szCs w:val="24"/>
        </w:rPr>
        <w:t xml:space="preserve">简体中文</w:t>
      </w:r>
      <w:r>
        <w:rPr>
          <w:rFonts w:hint="eastAsia" w:ascii="宋体" w:hAnsi="宋体" w:eastAsia="宋体" w:cs="宋体"/>
          <w:color w:val="000000"/>
          <w:sz w:val="24"/>
          <w:szCs w:val="24"/>
        </w:rPr>
        <w:t xml:space="preserve">。</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9.2 除技术性能另有规定外，投标文件所使用的度量衡单位，均须采用国家法定计量单位。</w:t>
      </w:r>
      <w:r/>
    </w:p>
    <w:p>
      <w:pPr>
        <w:ind w:firstLine="560"/>
        <w:jc w:val="left"/>
        <w:spacing w:line="360" w:lineRule="auto"/>
        <w:rPr>
          <w:rFonts w:hint="default" w:ascii="Calibri" w:hAnsi="Calibri" w:eastAsia="Arial" w:cs="Times New Roman"/>
          <w:sz w:val="24"/>
          <w:szCs w:val="24"/>
        </w:rPr>
      </w:pPr>
      <w:r/>
      <w:bookmarkStart w:id="101" w:name="_Toc16938531"/>
      <w:r/>
      <w:bookmarkStart w:id="102" w:name="_Toc513029215"/>
      <w:r/>
      <w:bookmarkStart w:id="103" w:name="_Toc462564074"/>
      <w:r/>
      <w:bookmarkStart w:id="104" w:name="_Toc20823287"/>
      <w:r>
        <w:rPr>
          <w:rFonts w:hint="default" w:ascii="Arial" w:hAnsi="Arial" w:eastAsia="Arial" w:cs="Arial"/>
          <w:color w:val="000000"/>
          <w:sz w:val="24"/>
          <w:szCs w:val="24"/>
        </w:rPr>
        <w:t xml:space="preserve">10、投标文件构成</w:t>
      </w:r>
      <w:bookmarkEnd w:id="101"/>
      <w:r/>
      <w:bookmarkEnd w:id="102"/>
      <w:r/>
      <w:bookmarkEnd w:id="103"/>
      <w:r/>
      <w:bookmarkEnd w:id="104"/>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10.1 投标人编写的投标文件应包括资格证明文件、符合性证明文件、投标分项报价表、技术要求响应及偏离表、商务要求响应及偏离表、其他证明文件、投标函、开标一览表等部分。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10.2 如标书制作工具中格式和内容与</w:t>
      </w:r>
      <w:r>
        <w:rPr>
          <w:rFonts w:hint="eastAsia" w:ascii="仿宋" w:hAnsi="仿宋" w:eastAsia="Arial" w:cs="仿宋"/>
          <w:color w:val="333333"/>
          <w:sz w:val="24"/>
          <w:szCs w:val="24"/>
          <w:shd w:val="clear" w:color="auto" w:fill="ffffff"/>
        </w:rPr>
        <w:t xml:space="preserve">“</w:t>
      </w:r>
      <w:r>
        <w:rPr>
          <w:rFonts w:hint="eastAsia" w:ascii="仿宋" w:hAnsi="仿宋" w:eastAsia="Arial" w:cs="仿宋"/>
          <w:color w:val="000000"/>
          <w:sz w:val="24"/>
          <w:szCs w:val="24"/>
        </w:rPr>
        <w:t xml:space="preserve">中国政府采购网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发布的招标文件不一致，请以</w:t>
      </w:r>
      <w:r>
        <w:rPr>
          <w:rFonts w:hint="eastAsia" w:ascii="仿宋" w:hAnsi="仿宋" w:eastAsia="Arial" w:cs="仿宋"/>
          <w:color w:val="000000"/>
          <w:sz w:val="24"/>
          <w:szCs w:val="24"/>
        </w:rPr>
        <w:t xml:space="preserve">中国政府采购网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发布的招标文件为准。</w:t>
      </w:r>
      <w:r/>
    </w:p>
    <w:p>
      <w:pPr>
        <w:ind w:firstLine="560"/>
        <w:jc w:val="left"/>
        <w:spacing w:line="360" w:lineRule="auto"/>
        <w:rPr>
          <w:rFonts w:hint="default" w:ascii="Calibri" w:hAnsi="Calibri" w:eastAsia="Arial" w:cs="Times New Roman"/>
          <w:sz w:val="24"/>
          <w:szCs w:val="24"/>
        </w:rPr>
      </w:pPr>
      <w:r/>
      <w:bookmarkStart w:id="105" w:name="_Toc14577354"/>
      <w:r/>
      <w:bookmarkStart w:id="106" w:name="_Toc49090508"/>
      <w:r/>
      <w:bookmarkStart w:id="107" w:name="_Toc14577355"/>
      <w:r/>
      <w:bookmarkStart w:id="108" w:name="_Toc513029216"/>
      <w:r/>
      <w:bookmarkStart w:id="109" w:name="_Toc14577357"/>
      <w:r/>
      <w:bookmarkStart w:id="110" w:name="_Toc49090507"/>
      <w:r/>
      <w:bookmarkStart w:id="111" w:name="_Toc49090509"/>
      <w:r/>
      <w:bookmarkStart w:id="112" w:name="_Toc513029219"/>
      <w:r>
        <w:rPr>
          <w:rFonts w:hint="default" w:ascii="Arial" w:hAnsi="Arial" w:eastAsia="Arial" w:cs="Arial"/>
          <w:color w:val="000000"/>
          <w:sz w:val="24"/>
          <w:szCs w:val="24"/>
        </w:rPr>
        <w:t xml:space="preserve">11、证明投标人及投标标的符合招标文件规定的文件</w:t>
      </w:r>
      <w:bookmarkEnd w:id="105"/>
      <w:r/>
      <w:bookmarkEnd w:id="106"/>
      <w:r/>
      <w:bookmarkEnd w:id="107"/>
      <w:r/>
      <w:bookmarkEnd w:id="108"/>
      <w:r/>
      <w:bookmarkEnd w:id="109"/>
      <w:r/>
      <w:bookmarkEnd w:id="110"/>
      <w:r/>
      <w:bookmarkEnd w:id="111"/>
      <w:r/>
      <w:bookmarkEnd w:id="112"/>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11.1 投标人应按照招标文件要求提交证明文件，证明其及投标标的符合招标文件规定。</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11.2招标文件对证明文件无明确形式要求的，证明文件可以以文字资料、图纸和数据等形式提交。</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12、投标分项报价表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12.1 投标人应按照招标文件规定格式填报投标分项报价表。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12.2投标货币。投标文件中的单价和总价无特殊规定的采用人民币报价，以元为单位标注。招标文件中另有规定的按规定执行。</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13、技术要求响应及偏离表、商务要求响应及偏离表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13.1 投标人需对招标文件中的技术要求与商务要求逐项作出响应或偏离，并说明原因。</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13.2 投标人可在投标文件中提供认为需要的其他技术文件或说明。</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14、服务承诺、培训计划、人员安排及其他</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14.1 投标人需根据招标文件要求提供有关售后服务的管理制度，售后服务机构的分布情况，售后服务人员的数量、素质、技术水平及售后服务的反应能力等。</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14.2 投标人需根据招标文件要求提供培训计划。</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14.3  投标人需根据招标文件要求提供所投标的的主要组成部分、功能设计、实现思路及关键技术等。</w:t>
      </w:r>
      <w:r/>
    </w:p>
    <w:p>
      <w:pPr>
        <w:ind w:firstLine="560"/>
        <w:jc w:val="left"/>
        <w:spacing w:line="360" w:lineRule="auto"/>
        <w:rPr>
          <w:rFonts w:hint="default" w:ascii="Calibri" w:hAnsi="Calibri" w:eastAsia="Arial" w:cs="Times New Roman"/>
          <w:sz w:val="24"/>
          <w:szCs w:val="24"/>
        </w:rPr>
      </w:pPr>
      <w:r/>
      <w:bookmarkStart w:id="113" w:name="_Toc49090510"/>
      <w:r/>
      <w:bookmarkStart w:id="114" w:name="_Toc14577359"/>
      <w:r>
        <w:rPr>
          <w:rFonts w:hint="default" w:ascii="Arial" w:hAnsi="Arial" w:eastAsia="Arial" w:cs="Arial"/>
          <w:color w:val="000000"/>
          <w:sz w:val="24"/>
          <w:szCs w:val="24"/>
        </w:rPr>
        <w:t xml:space="preserve">15、投标函和开标一览表</w:t>
      </w:r>
      <w:bookmarkEnd w:id="113"/>
      <w:r/>
      <w:bookmarkEnd w:id="114"/>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15.1 投标人应按照招标文件中提供的格式完整、正确填写投标函、开标一览表。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p>
    <w:p>
      <w:pPr>
        <w:ind w:firstLine="560"/>
        <w:jc w:val="left"/>
        <w:spacing w:line="360" w:lineRule="auto"/>
        <w:rPr>
          <w:rFonts w:hint="default" w:ascii="Calibri" w:hAnsi="Calibri" w:eastAsia="Arial" w:cs="Times New Roman"/>
          <w:sz w:val="24"/>
          <w:szCs w:val="24"/>
        </w:rPr>
      </w:pPr>
      <w:r/>
      <w:bookmarkStart w:id="115" w:name="_Toc49090511"/>
      <w:r/>
      <w:bookmarkStart w:id="116" w:name="_Toc14577360"/>
      <w:r>
        <w:rPr>
          <w:rFonts w:hint="default" w:ascii="Arial" w:hAnsi="Arial" w:eastAsia="Arial" w:cs="Arial"/>
          <w:color w:val="000000"/>
          <w:sz w:val="24"/>
          <w:szCs w:val="24"/>
        </w:rPr>
        <w:t xml:space="preserve">16、投标有效期</w:t>
      </w:r>
      <w:bookmarkEnd w:id="115"/>
      <w:r/>
      <w:bookmarkEnd w:id="116"/>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16.1投标有效期为采购人规定的开标之日后</w:t>
      </w:r>
      <w:r>
        <w:rPr>
          <w:rFonts w:hint="eastAsia" w:ascii="仿宋_GB2312" w:hAnsi="Calibri" w:eastAsia="仿宋_GB2312" w:cs="仿宋_GB2312"/>
          <w:b/>
          <w:color w:val="000000"/>
          <w:sz w:val="24"/>
          <w:szCs w:val="24"/>
          <w:u w:val="single"/>
        </w:rPr>
        <w:t xml:space="preserve">九</w:t>
      </w:r>
      <w:r>
        <w:rPr>
          <w:rFonts w:hint="default" w:ascii="仿宋_GB2312" w:hAnsi="Calibri" w:eastAsia="仿宋_GB2312" w:cs="仿宋_GB2312"/>
          <w:b/>
          <w:color w:val="000000"/>
          <w:sz w:val="24"/>
          <w:szCs w:val="24"/>
          <w:u w:val="single"/>
        </w:rPr>
        <w:t xml:space="preserve">十（</w:t>
      </w:r>
      <w:r>
        <w:rPr>
          <w:rFonts w:hint="eastAsia" w:ascii="仿宋_GB2312" w:hAnsi="Calibri" w:eastAsia="仿宋_GB2312" w:cs="仿宋_GB2312"/>
          <w:b/>
          <w:color w:val="000000"/>
          <w:sz w:val="24"/>
          <w:szCs w:val="24"/>
          <w:u w:val="single"/>
        </w:rPr>
        <w:t xml:space="preserve">9</w:t>
      </w:r>
      <w:r>
        <w:rPr>
          <w:rFonts w:hint="default" w:ascii="仿宋_GB2312" w:hAnsi="Calibri" w:eastAsia="仿宋_GB2312" w:cs="仿宋_GB2312"/>
          <w:b/>
          <w:color w:val="000000"/>
          <w:sz w:val="24"/>
          <w:szCs w:val="24"/>
          <w:u w:val="single"/>
        </w:rPr>
        <w:t xml:space="preserve">0）天</w:t>
      </w:r>
      <w:r>
        <w:rPr>
          <w:rFonts w:hint="eastAsia" w:ascii="宋体" w:hAnsi="宋体" w:eastAsia="宋体" w:cs="宋体"/>
          <w:color w:val="000000"/>
          <w:sz w:val="24"/>
          <w:szCs w:val="24"/>
        </w:rPr>
        <w:t xml:space="preserve">。投标有效期比规定短的将被视为未实质性响应招标文件而予以拒绝。</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17、投标有效期的延长</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02"/>
        <w:spacing w:line="360" w:lineRule="auto"/>
        <w:widowControl w:val="off"/>
        <w:rPr>
          <w:rFonts w:hint="default" w:ascii="宋体" w:hAnsi="宋体" w:eastAsia="宋体" w:cs="Times New Roman"/>
          <w:b/>
          <w:bCs/>
          <w:sz w:val="24"/>
          <w:szCs w:val="24"/>
        </w:rPr>
        <w:outlineLvl w:val="1"/>
      </w:pPr>
      <w:r/>
      <w:bookmarkStart w:id="117" w:name="_Toc20823296"/>
      <w:r/>
      <w:bookmarkStart w:id="118" w:name="_Toc184145583"/>
      <w:r/>
      <w:bookmarkStart w:id="119" w:name="_Toc16938540"/>
      <w:r/>
      <w:bookmarkStart w:id="120" w:name="_Toc120614217"/>
      <w:r/>
      <w:bookmarkStart w:id="121" w:name="_Toc513029224"/>
      <w:r/>
      <w:bookmarkStart w:id="122" w:name="_Toc211901906"/>
      <w:r>
        <w:rPr>
          <w:rFonts w:hint="eastAsia" w:ascii="宋体" w:hAnsi="宋体" w:eastAsia="宋体" w:cs="Times New Roman"/>
          <w:b/>
          <w:bCs/>
          <w:sz w:val="24"/>
          <w:szCs w:val="24"/>
        </w:rPr>
        <w:t xml:space="preserve">四、投标文件的递交</w:t>
      </w:r>
      <w:bookmarkEnd w:id="117"/>
      <w:r/>
      <w:bookmarkEnd w:id="118"/>
      <w:r/>
      <w:bookmarkEnd w:id="119"/>
      <w:r/>
      <w:bookmarkEnd w:id="120"/>
      <w:r/>
      <w:bookmarkEnd w:id="121"/>
      <w:r/>
      <w:bookmarkEnd w:id="122"/>
      <w:r/>
      <w:r/>
    </w:p>
    <w:p>
      <w:pPr>
        <w:ind w:firstLine="560"/>
        <w:jc w:val="left"/>
        <w:spacing w:line="360" w:lineRule="auto"/>
        <w:rPr>
          <w:rFonts w:hint="default" w:ascii="Calibri" w:hAnsi="Calibri" w:eastAsia="Arial" w:cs="Times New Roman"/>
          <w:sz w:val="24"/>
          <w:szCs w:val="24"/>
        </w:rPr>
      </w:pPr>
      <w:r/>
      <w:bookmarkStart w:id="123" w:name="_Toc20823297"/>
      <w:r/>
      <w:bookmarkStart w:id="124" w:name="_Toc513029225"/>
      <w:r/>
      <w:bookmarkStart w:id="125" w:name="_Toc16938541"/>
      <w:r/>
      <w:bookmarkStart w:id="126" w:name="_Toc462564084"/>
      <w:r>
        <w:rPr>
          <w:rFonts w:hint="default" w:ascii="Arial" w:hAnsi="Arial" w:eastAsia="Arial" w:cs="Arial"/>
          <w:color w:val="000000"/>
          <w:sz w:val="24"/>
          <w:szCs w:val="24"/>
        </w:rPr>
        <w:t xml:space="preserve">18、电子</w:t>
      </w:r>
      <w:r>
        <w:rPr>
          <w:rFonts w:hint="eastAsia" w:ascii="黑体" w:hAnsi="宋体" w:eastAsia="黑体" w:cs="黑体"/>
          <w:color w:val="000000"/>
          <w:sz w:val="24"/>
          <w:szCs w:val="24"/>
        </w:rPr>
        <w:t xml:space="preserve">投标文件</w:t>
      </w:r>
      <w:bookmarkEnd w:id="123"/>
      <w:r/>
      <w:bookmarkEnd w:id="124"/>
      <w:r/>
      <w:bookmarkEnd w:id="125"/>
      <w:r/>
      <w:bookmarkEnd w:id="126"/>
      <w:r>
        <w:rPr>
          <w:rFonts w:hint="eastAsia" w:ascii="黑体" w:hAnsi="宋体" w:eastAsia="黑体" w:cs="黑体"/>
          <w:color w:val="000000"/>
          <w:sz w:val="24"/>
          <w:szCs w:val="24"/>
        </w:rPr>
        <w:t xml:space="preserve">的递交</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18.1投标人应当按照《操作手册》规定，在投标截止时间前制作并上传电子投标</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文件。</w:t>
      </w:r>
      <w:bookmarkStart w:id="127" w:name="_Toc20823298"/>
      <w:r/>
      <w:bookmarkEnd w:id="127"/>
      <w:r/>
      <w:bookmarkStart w:id="128" w:name="_Toc16938542"/>
      <w:r/>
      <w:bookmarkEnd w:id="128"/>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19、投标截止日期</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19.1 投标人上传电子投标文件的时间不得迟于招标公告中规定的投标截止时间。</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19.2 采购人可以按照规定，通过修改招标文件酌情延长投标截止日期，在此情况下，投标人的所有权利和义务以及投标人受制的截止日期均应以延长后新的截止日期为准。</w:t>
      </w:r>
      <w:r/>
    </w:p>
    <w:p>
      <w:pPr>
        <w:ind w:firstLine="560"/>
        <w:jc w:val="left"/>
        <w:spacing w:line="360" w:lineRule="auto"/>
        <w:rPr>
          <w:rFonts w:hint="default" w:ascii="Calibri" w:hAnsi="Calibri" w:eastAsia="Arial" w:cs="Times New Roman"/>
          <w:sz w:val="24"/>
          <w:szCs w:val="24"/>
        </w:rPr>
      </w:pPr>
      <w:r/>
      <w:bookmarkStart w:id="129" w:name="_Toc513029227"/>
      <w:r/>
      <w:bookmarkStart w:id="130" w:name="_Toc16938543"/>
      <w:r/>
      <w:bookmarkStart w:id="131" w:name="_Toc20823299"/>
      <w:r>
        <w:rPr>
          <w:rFonts w:hint="default" w:ascii="Arial" w:hAnsi="Arial" w:eastAsia="Arial" w:cs="Arial"/>
          <w:color w:val="000000"/>
          <w:sz w:val="24"/>
          <w:szCs w:val="24"/>
        </w:rPr>
        <w:t xml:space="preserve">20、投标文件</w:t>
      </w:r>
      <w:bookmarkEnd w:id="129"/>
      <w:r/>
      <w:bookmarkEnd w:id="130"/>
      <w:r/>
      <w:bookmarkEnd w:id="131"/>
      <w:r>
        <w:rPr>
          <w:rFonts w:hint="default" w:ascii="Arial" w:hAnsi="Arial" w:eastAsia="Arial" w:cs="Arial"/>
          <w:color w:val="000000"/>
          <w:sz w:val="24"/>
          <w:szCs w:val="24"/>
        </w:rPr>
        <w:t xml:space="preserve">的拒收</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20.1 采购人拒绝接收在其规定的投标截止时间后上传的任何投标文件。</w:t>
      </w:r>
      <w:r/>
    </w:p>
    <w:p>
      <w:pPr>
        <w:ind w:firstLine="560"/>
        <w:jc w:val="left"/>
        <w:spacing w:line="360" w:lineRule="auto"/>
        <w:rPr>
          <w:rFonts w:hint="default" w:ascii="Calibri" w:hAnsi="Calibri" w:eastAsia="Arial" w:cs="Times New Roman"/>
          <w:sz w:val="24"/>
          <w:szCs w:val="24"/>
        </w:rPr>
      </w:pPr>
      <w:r/>
      <w:bookmarkStart w:id="132" w:name="_Toc20823300"/>
      <w:r/>
      <w:bookmarkStart w:id="133" w:name="_Toc16938544"/>
      <w:r/>
      <w:bookmarkStart w:id="134" w:name="_Toc513029228"/>
      <w:r>
        <w:rPr>
          <w:rFonts w:hint="default" w:ascii="Arial" w:hAnsi="Arial" w:eastAsia="Arial" w:cs="Arial"/>
          <w:color w:val="000000"/>
          <w:sz w:val="24"/>
          <w:szCs w:val="24"/>
        </w:rPr>
        <w:t xml:space="preserve">21、投标文件的撤回和修改</w:t>
      </w:r>
      <w:bookmarkEnd w:id="132"/>
      <w:r/>
      <w:bookmarkEnd w:id="133"/>
      <w:r/>
      <w:bookmarkEnd w:id="134"/>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21.1 投标文件的撤回</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21.1.1 电子投标文件的撤回</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21.1.2 投标人撤回电子投标文件，则认为其不再参与本项目投标活动。</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21.2 投标文件的修改</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21.2.1投标人可在投标截止时间前，对其电子投标文件进行修改，具体操作方法见《操作手册》。</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21.2.2 在投标截止时间之后，投标人不得对其电子投标文件作任何修改。</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21.3 在投标截止时间至招标文件中规定的投标有效期满之间的这段时间内，投标人不得撤回其投标。</w:t>
      </w:r>
      <w:r/>
    </w:p>
    <w:p>
      <w:pPr>
        <w:ind w:firstLine="602"/>
        <w:spacing w:line="360" w:lineRule="auto"/>
        <w:widowControl w:val="off"/>
        <w:rPr>
          <w:rFonts w:hint="default" w:ascii="宋体" w:hAnsi="宋体" w:eastAsia="宋体" w:cs="Times New Roman"/>
          <w:b/>
          <w:bCs/>
          <w:sz w:val="24"/>
          <w:szCs w:val="24"/>
        </w:rPr>
        <w:outlineLvl w:val="1"/>
      </w:pPr>
      <w:r/>
      <w:bookmarkStart w:id="135" w:name="_Toc120614218"/>
      <w:r/>
      <w:bookmarkStart w:id="136" w:name="_Toc513029229"/>
      <w:r/>
      <w:bookmarkStart w:id="137" w:name="_Toc16938545"/>
      <w:r/>
      <w:bookmarkStart w:id="138" w:name="_Toc184145584"/>
      <w:r/>
      <w:bookmarkStart w:id="139" w:name="_Toc20823301"/>
      <w:r/>
      <w:bookmarkStart w:id="140" w:name="_Toc211901907"/>
      <w:r>
        <w:rPr>
          <w:rFonts w:hint="eastAsia" w:ascii="宋体" w:hAnsi="宋体" w:eastAsia="宋体" w:cs="Times New Roman"/>
          <w:b/>
          <w:bCs/>
          <w:sz w:val="24"/>
          <w:szCs w:val="24"/>
        </w:rPr>
        <w:t xml:space="preserve">五、开标与评标</w:t>
      </w:r>
      <w:bookmarkEnd w:id="135"/>
      <w:r/>
      <w:bookmarkEnd w:id="136"/>
      <w:r/>
      <w:bookmarkEnd w:id="137"/>
      <w:r/>
      <w:bookmarkEnd w:id="138"/>
      <w:r/>
      <w:bookmarkEnd w:id="139"/>
      <w:r/>
      <w:bookmarkEnd w:id="140"/>
      <w:r/>
      <w:r/>
    </w:p>
    <w:p>
      <w:pPr>
        <w:ind w:firstLine="560"/>
        <w:jc w:val="left"/>
        <w:spacing w:line="360" w:lineRule="auto"/>
        <w:rPr>
          <w:rFonts w:hint="default" w:ascii="Calibri" w:hAnsi="Calibri" w:eastAsia="Arial" w:cs="Times New Roman"/>
          <w:sz w:val="24"/>
          <w:szCs w:val="24"/>
        </w:rPr>
      </w:pPr>
      <w:r/>
      <w:bookmarkStart w:id="141" w:name="_Toc16938546"/>
      <w:r/>
      <w:bookmarkStart w:id="142" w:name="_Toc513029230"/>
      <w:r/>
      <w:bookmarkStart w:id="143" w:name="_Toc20823302"/>
      <w:r>
        <w:rPr>
          <w:rFonts w:hint="default" w:ascii="Arial" w:hAnsi="Arial" w:eastAsia="Arial" w:cs="Arial"/>
          <w:color w:val="000000"/>
          <w:sz w:val="24"/>
          <w:szCs w:val="24"/>
        </w:rPr>
        <w:t xml:space="preserve">22、开标</w:t>
      </w:r>
      <w:bookmarkEnd w:id="141"/>
      <w:r/>
      <w:bookmarkEnd w:id="142"/>
      <w:r/>
      <w:bookmarkEnd w:id="143"/>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22.1 采购人将在招标公告中规定的时间和地点组织公开开标。投标人应当按照《操作手册》规定，参加开标活动</w:t>
      </w:r>
      <w:r>
        <w:rPr>
          <w:rFonts w:hint="eastAsia" w:ascii="宋体" w:hAnsi="宋体" w:eastAsia="宋体" w:cs="宋体"/>
          <w:sz w:val="24"/>
          <w:szCs w:val="24"/>
        </w:rPr>
        <w:t xml:space="preserve">和在苏采云系统规定的时间内对投标文件进行解密。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22.2开标仪式由采购人组织。苏采云系统将自动对项目进行开标，并宣布各投标人名称和投标价格。</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22.3投标人在开标过程中涉及到的投标文件解密、开标结果确认等工作，应按照《操作手册》规定执行。</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22.4投标人如果对开标过程和开标记录有疑义，应当根据《操作手册》规定提出，如 苏采云系统中《开标记录表》宣布后5分钟内未提出的</w:t>
      </w:r>
      <w:r>
        <w:rPr>
          <w:rFonts w:hint="eastAsia" w:ascii="宋体" w:hAnsi="宋体" w:eastAsia="宋体" w:cs="宋体"/>
          <w:color w:val="000000"/>
          <w:sz w:val="24"/>
          <w:szCs w:val="24"/>
        </w:rPr>
        <w:t xml:space="preserve">，视同认可开标结果。</w:t>
      </w:r>
      <w:r/>
    </w:p>
    <w:p>
      <w:pPr>
        <w:ind w:firstLine="560"/>
        <w:jc w:val="left"/>
        <w:spacing w:line="360" w:lineRule="auto"/>
        <w:rPr>
          <w:rFonts w:hint="default" w:ascii="Calibri" w:hAnsi="Calibri" w:eastAsia="Arial" w:cs="Times New Roman"/>
          <w:sz w:val="24"/>
          <w:szCs w:val="24"/>
        </w:rPr>
      </w:pPr>
      <w:r/>
      <w:bookmarkStart w:id="144" w:name="_Toc16938547"/>
      <w:r/>
      <w:bookmarkStart w:id="145" w:name="_Toc20823303"/>
      <w:r/>
      <w:bookmarkStart w:id="146" w:name="_Toc513029231"/>
      <w:r>
        <w:rPr>
          <w:rFonts w:hint="default" w:ascii="Arial" w:hAnsi="Arial" w:eastAsia="Arial" w:cs="Arial"/>
          <w:color w:val="000000"/>
          <w:sz w:val="24"/>
          <w:szCs w:val="24"/>
        </w:rPr>
        <w:t xml:space="preserve">23、评标委员会</w:t>
      </w:r>
      <w:bookmarkEnd w:id="144"/>
      <w:r/>
      <w:bookmarkEnd w:id="145"/>
      <w:r/>
      <w:bookmarkEnd w:id="146"/>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23.1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开标后，采购人将立即组织评标委员会（以下简称评委会）进行评标。</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23.2 评委会由采购人代表和有关技术、经济等方面的专家组成，且人员构成符合政府采购有关规定。</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23.3评委会独立工作，负责评审所有投标文件并确定中标侯选人。</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24．评标过程的保密与公正</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24.1凡是与审查、澄清、评价和比较投标的有关资料以及授标建议等，采购人、评委、采购人均不得向投标人或与评标无关的其他人员透露。</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24.2在评标过程中，投标人不得以任何行为影响评标过程，否则其投标文件将被作为无效投标文件。</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24.3 采购人和评标委员会不向未中标的投标人解释未中标原因，也不公布评标过程中的相关</w:t>
      </w:r>
      <w:r>
        <w:rPr>
          <w:rFonts w:hint="eastAsia" w:ascii="宋体" w:hAnsi="宋体" w:eastAsia="宋体" w:cs="宋体"/>
          <w:sz w:val="24"/>
          <w:szCs w:val="24"/>
        </w:rPr>
        <w:t xml:space="preserve">细节。</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w:t>
      </w:r>
      <w:r>
        <w:rPr>
          <w:rFonts w:hint="eastAsia" w:ascii="宋体" w:hAnsi="宋体" w:eastAsia="宋体" w:cs="宋体"/>
          <w:color w:val="000000"/>
          <w:sz w:val="24"/>
          <w:szCs w:val="24"/>
        </w:rPr>
        <w:t xml:space="preserve">排序情况。</w:t>
      </w:r>
      <w:r/>
    </w:p>
    <w:p>
      <w:pPr>
        <w:ind w:firstLine="560"/>
        <w:jc w:val="left"/>
        <w:spacing w:line="360" w:lineRule="auto"/>
        <w:rPr>
          <w:rFonts w:hint="default" w:ascii="Calibri" w:hAnsi="Calibri" w:eastAsia="Arial" w:cs="Times New Roman"/>
          <w:sz w:val="24"/>
          <w:szCs w:val="24"/>
        </w:rPr>
      </w:pPr>
      <w:r/>
      <w:bookmarkStart w:id="147" w:name="_Toc513029232"/>
      <w:r/>
      <w:bookmarkStart w:id="148" w:name="_Toc16938548"/>
      <w:r/>
      <w:bookmarkStart w:id="149" w:name="_Toc20823304"/>
      <w:r>
        <w:rPr>
          <w:rFonts w:hint="default" w:ascii="Arial" w:hAnsi="Arial" w:eastAsia="Arial" w:cs="Arial"/>
          <w:color w:val="000000"/>
          <w:sz w:val="24"/>
          <w:szCs w:val="24"/>
        </w:rPr>
        <w:t xml:space="preserve">25．投标文件的澄清</w:t>
      </w:r>
      <w:bookmarkEnd w:id="147"/>
      <w:r/>
      <w:bookmarkEnd w:id="148"/>
      <w:r/>
      <w:bookmarkEnd w:id="149"/>
      <w:r/>
      <w:r/>
    </w:p>
    <w:p>
      <w:pPr>
        <w:ind w:firstLine="560"/>
        <w:jc w:val="left"/>
        <w:spacing w:line="360" w:lineRule="auto"/>
        <w:rPr>
          <w:rFonts w:hint="default" w:ascii="Calibri" w:hAnsi="Calibri" w:eastAsia="Arial" w:cs="Times New Roman"/>
          <w:sz w:val="24"/>
          <w:szCs w:val="24"/>
        </w:rPr>
      </w:pPr>
      <w:r/>
      <w:bookmarkStart w:id="150" w:name="_Toc20823305"/>
      <w:r/>
      <w:bookmarkStart w:id="151" w:name="_Toc16938549"/>
      <w:r/>
      <w:bookmarkStart w:id="152" w:name="_Toc513029233"/>
      <w:r>
        <w:rPr>
          <w:rFonts w:hint="eastAsia" w:ascii="宋体" w:hAnsi="宋体" w:eastAsia="宋体" w:cs="宋体"/>
          <w:color w:val="000000"/>
          <w:sz w:val="24"/>
          <w:szCs w:val="24"/>
        </w:rPr>
        <w:t xml:space="preserve">25.1评标期间，评委会对投标文件中含义不明确、同类问题表述不一致或者有明显文字和计算错误的内容 ，有权要求投标人作出必要的澄清、说明或者补正。</w:t>
      </w:r>
      <w:bookmarkEnd w:id="150"/>
      <w:r/>
      <w:bookmarkEnd w:id="151"/>
      <w:r/>
      <w:bookmarkEnd w:id="152"/>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评标委员会并非对每个投标人都做澄清要求。</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25.3 接到评委会澄清、说明和补正要求的投标人如未按规定做出澄清、</w:t>
      </w:r>
      <w:r>
        <w:rPr>
          <w:rFonts w:hint="eastAsia" w:ascii="宋体" w:hAnsi="宋体" w:eastAsia="宋体" w:cs="宋体"/>
          <w:color w:val="000000"/>
          <w:sz w:val="24"/>
          <w:szCs w:val="24"/>
        </w:rPr>
        <w:t xml:space="preserve">说明和补正，其风险由投标人自行承担。</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color w:val="000000"/>
          <w:sz w:val="24"/>
          <w:szCs w:val="24"/>
        </w:rPr>
        <w:t xml:space="preserve">26、对投标文件的初审</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26.1投标文件初审分为资格审查和符合性审查。</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26.1.1 资格审查：依据法律法规和招标文件的规定，由采购人对投标文件中的资格证明文件进行审查。资格审查的结论，采购人以书面形式向评委会进行反馈。</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采购人在进行资格性审查的同时，将在“信用中国”网站（www.creditchina.gov.cn）查询投标人的信用记录，以确定投标人是否具备投标资格,查询结果留存并归档。</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26.1.2 符合性审查：依据招标文件的规定，由评委会从投标文件的有效性、完整性和对招标文件的响应程度进行审查，以确定是否对招标文件的实质性要求作出响应。</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26.1.3 未通过资格审查或符合性审查的投标人，采购人将</w:t>
      </w:r>
      <w:r>
        <w:rPr>
          <w:rFonts w:hint="eastAsia" w:ascii="宋体" w:hAnsi="宋体" w:eastAsia="宋体" w:cs="宋体"/>
          <w:sz w:val="24"/>
          <w:szCs w:val="24"/>
        </w:rPr>
        <w:t xml:space="preserve">在苏采云系统中告知未通过资格审查或符合性审查的原因，评审结束后，采购人将不再告知未通过资格审查或符合性审查的原因。</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26.3如果投标文件实质上没有响应招标文件的要求，评委会将予以拒绝，投标人不得通过修改或撤销不合要求的偏离或保留而使其投标成为实质性响应的投标。</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26.4评委会将对确定为实质性响应的投标进行进一步审核，看其是否有计算上或累加上的算术错误，修正错误的原则如下：</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（1）投标文件中开标一览表内容与投标文件中相应内容不一致的，以开标一览表为准。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（2）大写金额和小写金额不一致的，以大写金额为准。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同时出现两种以上错误的，按照前款规定的顺序修正。</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jc w:val="left"/>
        <w:spacing w:line="360" w:lineRule="auto"/>
        <w:rPr>
          <w:rFonts w:hint="default" w:ascii="Calibri" w:hAnsi="Calibri" w:eastAsia="Arial" w:cs="Times New Roman"/>
          <w:sz w:val="24"/>
          <w:szCs w:val="24"/>
        </w:rPr>
      </w:pPr>
      <w:r/>
      <w:bookmarkStart w:id="153" w:name="_Toc20823306"/>
      <w:r/>
      <w:bookmarkStart w:id="154" w:name="_Toc16938550"/>
      <w:r/>
      <w:bookmarkStart w:id="155" w:name="_Toc513029234"/>
      <w:r>
        <w:rPr>
          <w:rFonts w:hint="eastAsia" w:ascii="宋体" w:hAnsi="宋体" w:eastAsia="宋体" w:cs="宋体"/>
          <w:color w:val="000000"/>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53"/>
      <w:r/>
      <w:bookmarkEnd w:id="154"/>
      <w:r/>
      <w:bookmarkEnd w:id="155"/>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26.7投标人在开、评标全过程中应保持通讯畅通，及时登录苏采云系统查阅、答复相关信息，并安排专人与采购人及评标委员会联系。</w:t>
      </w:r>
      <w:r/>
    </w:p>
    <w:p>
      <w:pPr>
        <w:ind w:firstLine="560"/>
        <w:jc w:val="left"/>
        <w:spacing w:line="360" w:lineRule="auto"/>
        <w:rPr>
          <w:rFonts w:hint="default" w:ascii="Calibri" w:hAnsi="Calibri" w:eastAsia="Arial" w:cs="Times New Roman"/>
          <w:sz w:val="24"/>
          <w:szCs w:val="24"/>
        </w:rPr>
      </w:pPr>
      <w:r>
        <w:rPr>
          <w:rFonts w:hint="default" w:ascii="Arial" w:hAnsi="Arial" w:eastAsia="Arial" w:cs="Arial"/>
          <w:sz w:val="24"/>
          <w:szCs w:val="24"/>
        </w:rPr>
        <w:t xml:space="preserve">27、无效投标条款和废标条款</w:t>
      </w:r>
      <w:r/>
    </w:p>
    <w:p>
      <w:pPr>
        <w:ind w:firstLine="560"/>
        <w:jc w:val="left"/>
        <w:spacing w:line="360" w:lineRule="auto"/>
        <w:rPr>
          <w:rFonts w:hint="default" w:ascii="Calibri" w:hAnsi="Calibri" w:eastAsia="Arial" w:cs="Times New Roman"/>
          <w:sz w:val="24"/>
          <w:szCs w:val="24"/>
        </w:rPr>
      </w:pPr>
      <w:r/>
      <w:bookmarkStart w:id="156" w:name="_Toc20823307"/>
      <w:r/>
      <w:bookmarkStart w:id="157" w:name="_Toc513029235"/>
      <w:r/>
      <w:bookmarkStart w:id="158" w:name="_Toc16938551"/>
      <w:r>
        <w:rPr>
          <w:rFonts w:hint="eastAsia" w:ascii="宋体" w:hAnsi="宋体" w:eastAsia="宋体" w:cs="宋体"/>
          <w:sz w:val="24"/>
          <w:szCs w:val="24"/>
        </w:rPr>
        <w:t xml:space="preserve">27.1无效投标条款</w:t>
      </w:r>
      <w:bookmarkEnd w:id="156"/>
      <w:r/>
      <w:bookmarkEnd w:id="157"/>
      <w:r/>
      <w:bookmarkEnd w:id="158"/>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27.1.1 投标人在苏采云系统规定的时间内未成功解密电子投标文件的。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27.1.2 投标人未按照招标文件要求上传电子投标文件的。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27.1.3同一投标人提交两个（含两个）以上不同的投标报价的。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27.1.4投标人不具备招标文件中规定资格要求的。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27.1.5投标人的报价超过了采购预算或最高限价的。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27.1.6未通过符合性审查的。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27.1.7不符合招标文件中规定的实质性要求和条件的.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27.1.9  投标文件含有采购人不能接受的附加条件的。</w:t>
      </w:r>
      <w:r/>
    </w:p>
    <w:p>
      <w:pPr>
        <w:ind w:firstLine="562"/>
        <w:jc w:val="left"/>
        <w:spacing w:line="360" w:lineRule="auto"/>
        <w:rPr>
          <w:rFonts w:hint="default" w:ascii="宋体" w:hAnsi="宋体" w:eastAsia="宋体" w:cs="宋体"/>
          <w:b/>
          <w:bCs/>
          <w:color w:val="0070c0"/>
          <w:sz w:val="24"/>
          <w:szCs w:val="24"/>
        </w:rPr>
      </w:pPr>
      <w:r>
        <w:rPr>
          <w:rFonts w:hint="eastAsia" w:ascii="宋体" w:hAnsi="宋体" w:eastAsia="宋体" w:cs="宋体"/>
          <w:b/>
          <w:bCs/>
          <w:color w:val="0070c0"/>
          <w:sz w:val="24"/>
          <w:szCs w:val="24"/>
        </w:rPr>
        <w:t xml:space="preserve">27.1.10投标人不能证明其报价合理性的，评标委员会应当将其作为无效投标处理。</w:t>
      </w:r>
      <w:r/>
    </w:p>
    <w:p>
      <w:pPr>
        <w:ind w:firstLine="562"/>
        <w:jc w:val="left"/>
        <w:spacing w:line="360" w:lineRule="auto"/>
        <w:rPr>
          <w:rFonts w:hint="default" w:ascii="宋体" w:hAnsi="宋体" w:eastAsia="宋体" w:cs="宋体"/>
          <w:b/>
          <w:bCs/>
          <w:color w:val="0070c0"/>
          <w:sz w:val="24"/>
          <w:szCs w:val="24"/>
        </w:rPr>
      </w:pPr>
      <w:r>
        <w:rPr>
          <w:rFonts w:hint="eastAsia" w:ascii="宋体" w:hAnsi="宋体" w:eastAsia="宋体" w:cs="宋体"/>
          <w:b/>
          <w:bCs/>
          <w:color w:val="0070c0"/>
          <w:sz w:val="24"/>
          <w:szCs w:val="24"/>
        </w:rPr>
        <w:t xml:space="preserve">（一）评审过程中出现下列情形之一的，评标委员会应当启动异常低价投标审查程序：</w:t>
      </w:r>
      <w:r/>
    </w:p>
    <w:p>
      <w:pPr>
        <w:ind w:firstLine="562"/>
        <w:jc w:val="left"/>
        <w:spacing w:line="360" w:lineRule="auto"/>
        <w:rPr>
          <w:rFonts w:hint="default" w:ascii="宋体" w:hAnsi="宋体" w:eastAsia="宋体" w:cs="宋体"/>
          <w:b/>
          <w:bCs/>
          <w:color w:val="0070c0"/>
          <w:sz w:val="24"/>
          <w:szCs w:val="24"/>
        </w:rPr>
      </w:pPr>
      <w:r>
        <w:rPr>
          <w:rFonts w:hint="eastAsia" w:ascii="宋体" w:hAnsi="宋体" w:eastAsia="宋体" w:cs="宋体"/>
          <w:b/>
          <w:bCs/>
          <w:color w:val="0070c0"/>
          <w:sz w:val="24"/>
          <w:szCs w:val="24"/>
        </w:rPr>
        <w:t xml:space="preserve">1.投标报价低于采购项目预算50%的，即投标报价&lt;采购项目预算×50%；</w:t>
      </w:r>
      <w:r/>
    </w:p>
    <w:p>
      <w:pPr>
        <w:ind w:firstLine="562"/>
        <w:jc w:val="left"/>
        <w:spacing w:line="360" w:lineRule="auto"/>
        <w:rPr>
          <w:rFonts w:hint="default" w:ascii="宋体" w:hAnsi="宋体" w:eastAsia="宋体" w:cs="宋体"/>
          <w:b/>
          <w:bCs/>
          <w:color w:val="0070c0"/>
          <w:sz w:val="24"/>
          <w:szCs w:val="24"/>
        </w:rPr>
      </w:pPr>
      <w:r>
        <w:rPr>
          <w:rFonts w:hint="eastAsia" w:ascii="宋体" w:hAnsi="宋体" w:eastAsia="宋体" w:cs="宋体"/>
          <w:b/>
          <w:bCs/>
          <w:color w:val="0070c0"/>
          <w:sz w:val="24"/>
          <w:szCs w:val="24"/>
        </w:rPr>
        <w:t xml:space="preserve">2.投标报价低于采购项目最高限价45%的，即投标报价&lt;采购项目最高限价×45%；</w:t>
      </w:r>
      <w:r/>
    </w:p>
    <w:p>
      <w:pPr>
        <w:ind w:firstLine="562"/>
        <w:jc w:val="left"/>
        <w:spacing w:line="360" w:lineRule="auto"/>
        <w:rPr>
          <w:rFonts w:hint="default" w:ascii="宋体" w:hAnsi="宋体" w:eastAsia="宋体" w:cs="宋体"/>
          <w:b/>
          <w:bCs/>
          <w:color w:val="0070c0"/>
          <w:sz w:val="24"/>
          <w:szCs w:val="24"/>
        </w:rPr>
      </w:pPr>
      <w:r>
        <w:rPr>
          <w:rFonts w:hint="eastAsia" w:ascii="宋体" w:hAnsi="宋体" w:eastAsia="宋体" w:cs="宋体"/>
          <w:b/>
          <w:bCs/>
          <w:color w:val="0070c0"/>
          <w:sz w:val="24"/>
          <w:szCs w:val="24"/>
        </w:rPr>
        <w:t xml:space="preserve">3.评标委员会认定的供应商报价过低、有可能影响产品质量或者不能诚信履约的其他情形。</w:t>
      </w:r>
      <w:r/>
    </w:p>
    <w:p>
      <w:pPr>
        <w:ind w:firstLine="562"/>
        <w:jc w:val="left"/>
        <w:spacing w:line="360" w:lineRule="auto"/>
        <w:rPr>
          <w:rFonts w:hint="default" w:ascii="Calibri" w:hAnsi="Calibri" w:eastAsia="Arial" w:cs="Times New Roman"/>
          <w:sz w:val="24"/>
          <w:szCs w:val="24"/>
        </w:rPr>
      </w:pPr>
      <w:r>
        <w:rPr>
          <w:rFonts w:hint="eastAsia" w:ascii="宋体" w:hAnsi="宋体" w:eastAsia="宋体" w:cs="宋体"/>
          <w:b/>
          <w:bCs/>
          <w:color w:val="0070c0"/>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27.1.11 本项目采购产品被财政部、国家发展改革委、生态环境部等列入“节能产品品目清单”、“环境标志产品品目清单”强制采购范围，而投标人所投标产品不在强制采购范围内的。（投标</w:t>
      </w:r>
      <w:r>
        <w:rPr>
          <w:rFonts w:hint="eastAsia" w:ascii="宋体" w:hAnsi="宋体" w:eastAsia="宋体" w:cs="宋体"/>
          <w:color w:val="000000"/>
          <w:sz w:val="24"/>
          <w:szCs w:val="24"/>
        </w:rPr>
        <w:t xml:space="preserve">产品</w:t>
      </w:r>
      <w:r>
        <w:rPr>
          <w:rFonts w:hint="eastAsia" w:ascii="宋体" w:hAnsi="宋体" w:eastAsia="宋体" w:cs="宋体"/>
          <w:sz w:val="24"/>
          <w:szCs w:val="24"/>
        </w:rPr>
        <w:t xml:space="preserve">如属于政府强制采购节能产品品目清单范围内，投标文件中必须提供国家确定的认证机构出具的、处于有效期之内的该节能产品认证证书图片）</w:t>
      </w:r>
      <w:r/>
    </w:p>
    <w:p>
      <w:pPr>
        <w:ind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27.1.12 投标文件未按照招标文件要求加盖CA电子公章的。</w:t>
      </w:r>
      <w:r/>
    </w:p>
    <w:p>
      <w:pPr>
        <w:ind w:firstLine="560"/>
        <w:jc w:val="left"/>
        <w:spacing w:line="360" w:lineRule="auto"/>
        <w:rPr>
          <w:rFonts w:hint="default"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27.1.13</w:t>
      </w:r>
      <w:bookmarkStart w:id="159" w:name="OLE_LINK4"/>
      <w:r/>
      <w:bookmarkStart w:id="160" w:name="OLE_LINK3"/>
      <w:r>
        <w:rPr>
          <w:rFonts w:hint="eastAsia" w:ascii="宋体" w:hAnsi="宋体" w:eastAsia="宋体" w:cs="宋体"/>
          <w:b w:val="0"/>
          <w:bCs w:val="0"/>
          <w:color w:val="auto"/>
          <w:sz w:val="24"/>
          <w:szCs w:val="24"/>
          <w:lang w:val="en-US" w:eastAsia="zh-CN"/>
        </w:rPr>
        <w:t xml:space="preserve"> </w:t>
      </w:r>
      <w:r>
        <w:rPr>
          <w:rFonts w:hint="eastAsia" w:ascii="宋体" w:hAnsi="宋体" w:eastAsia="Arial" w:cs="Times New Roman"/>
          <w:b w:val="0"/>
          <w:bCs w:val="0"/>
          <w:color w:val="auto"/>
          <w:sz w:val="24"/>
          <w:szCs w:val="24"/>
        </w:rPr>
        <w:t xml:space="preserve">本</w:t>
      </w:r>
      <w:r>
        <w:rPr>
          <w:rFonts w:hint="default" w:ascii="宋体" w:hAnsi="宋体" w:eastAsia="Arial" w:cs="Times New Roman"/>
          <w:b w:val="0"/>
          <w:bCs w:val="0"/>
          <w:color w:val="auto"/>
          <w:sz w:val="24"/>
          <w:szCs w:val="24"/>
        </w:rPr>
        <w:t xml:space="preserve">项目</w:t>
      </w:r>
      <w:r>
        <w:rPr>
          <w:rFonts w:hint="eastAsia" w:ascii="宋体" w:hAnsi="宋体" w:eastAsia="宋体" w:cs="Times New Roman"/>
          <w:b w:val="0"/>
          <w:bCs w:val="0"/>
          <w:color w:val="auto"/>
          <w:sz w:val="24"/>
          <w:szCs w:val="24"/>
          <w:lang w:val="en-US" w:eastAsia="zh-CN"/>
        </w:rPr>
        <w:t xml:space="preserve">如</w:t>
      </w:r>
      <w:r>
        <w:rPr>
          <w:rFonts w:hint="default" w:ascii="宋体" w:hAnsi="宋体" w:eastAsia="Arial" w:cs="Times New Roman"/>
          <w:b w:val="0"/>
          <w:bCs w:val="0"/>
          <w:color w:val="auto"/>
          <w:sz w:val="24"/>
          <w:szCs w:val="24"/>
        </w:rPr>
        <w:t xml:space="preserve">为专门面向中小企业采购的项目</w:t>
      </w:r>
      <w:bookmarkEnd w:id="159"/>
      <w:r/>
      <w:bookmarkEnd w:id="160"/>
      <w:r>
        <w:rPr>
          <w:rFonts w:hint="default" w:ascii="宋体" w:hAnsi="宋体" w:eastAsia="Arial" w:cs="Times New Roman"/>
          <w:b w:val="0"/>
          <w:bCs w:val="0"/>
          <w:color w:val="auto"/>
          <w:sz w:val="24"/>
          <w:szCs w:val="24"/>
        </w:rPr>
        <w:t xml:space="preserve">,</w:t>
      </w:r>
      <w:r>
        <w:rPr>
          <w:rFonts w:hint="eastAsia" w:ascii="宋体" w:hAnsi="宋体" w:eastAsia="Arial" w:cs="Times New Roman"/>
          <w:b w:val="0"/>
          <w:bCs w:val="0"/>
          <w:color w:val="auto"/>
          <w:sz w:val="24"/>
          <w:szCs w:val="24"/>
        </w:rPr>
        <w:t xml:space="preserve">所供产品厂商</w:t>
      </w:r>
      <w:r>
        <w:rPr>
          <w:rFonts w:hint="default" w:ascii="宋体" w:hAnsi="宋体" w:eastAsia="Arial" w:cs="Times New Roman"/>
          <w:b w:val="0"/>
          <w:bCs w:val="0"/>
          <w:color w:val="auto"/>
          <w:sz w:val="24"/>
          <w:szCs w:val="24"/>
        </w:rPr>
        <w:t xml:space="preserve">非中小微企业</w:t>
      </w:r>
      <w:r>
        <w:rPr>
          <w:rFonts w:hint="eastAsia" w:ascii="宋体" w:hAnsi="宋体" w:eastAsia="Arial" w:cs="Times New Roman"/>
          <w:b w:val="0"/>
          <w:bCs w:val="0"/>
          <w:color w:val="auto"/>
          <w:sz w:val="24"/>
          <w:szCs w:val="24"/>
        </w:rPr>
        <w:t xml:space="preserve">（或监狱企业或残疾人福利性单位）</w:t>
      </w:r>
      <w:r>
        <w:rPr>
          <w:rFonts w:hint="default" w:ascii="宋体" w:hAnsi="宋体" w:eastAsia="Arial" w:cs="Times New Roman"/>
          <w:b w:val="0"/>
          <w:bCs w:val="0"/>
          <w:color w:val="auto"/>
          <w:sz w:val="24"/>
          <w:szCs w:val="24"/>
        </w:rPr>
        <w:t xml:space="preserve">，或未提供《中小企业声明函》</w:t>
      </w:r>
      <w:r>
        <w:rPr>
          <w:rFonts w:hint="eastAsia" w:ascii="宋体" w:hAnsi="宋体" w:eastAsia="Arial" w:cs="Times New Roman"/>
          <w:b w:val="0"/>
          <w:bCs w:val="0"/>
          <w:color w:val="auto"/>
          <w:sz w:val="24"/>
          <w:szCs w:val="24"/>
        </w:rPr>
        <w:t xml:space="preserve">（或监狱企业、残疾人福利性单位声明函）</w:t>
      </w:r>
      <w:r>
        <w:rPr>
          <w:rFonts w:hint="default" w:ascii="宋体" w:hAnsi="宋体" w:eastAsia="Arial" w:cs="Times New Roman"/>
          <w:b w:val="0"/>
          <w:bCs w:val="0"/>
          <w:color w:val="auto"/>
          <w:sz w:val="24"/>
          <w:szCs w:val="24"/>
        </w:rPr>
        <w:t xml:space="preserve">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27.1.1</w:t>
      </w:r>
      <w:r>
        <w:rPr>
          <w:rFonts w:hint="default" w:ascii="宋体" w:hAnsi="宋体" w:eastAsia="宋体" w:cs="宋体"/>
          <w:sz w:val="24"/>
          <w:szCs w:val="24"/>
        </w:rPr>
        <w:t xml:space="preserve">4</w:t>
      </w:r>
      <w:r>
        <w:rPr>
          <w:rFonts w:hint="eastAsia" w:ascii="宋体" w:hAnsi="宋体" w:eastAsia="宋体" w:cs="宋体"/>
          <w:sz w:val="24"/>
          <w:szCs w:val="24"/>
        </w:rPr>
        <w:t xml:space="preserve">其他法律、法规及本招标文件规定的属无效投标的情形。</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27.2废标条款</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27.2.1符合专业条件的供应商或者对招标文件作实质响应的供应商不足三家的。27.2.2出现影响采购公正的违法、违规行为的。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27.2.3因重大变故，采购任务取消的。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27.2.4评标委员会认定招标文件存在歧义、重大缺陷导致评审工作无法进行。</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27.2.5 因苏采云系统系统故障原因造成开标不成功的。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27.3 投标截止时间结束后参加投标的供应商不足三家的处理：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sz w:val="24"/>
          <w:szCs w:val="24"/>
        </w:rPr>
        <w:t xml:space="preserve">27.3.1如出现投标截止时间结束后参加投标的供应商或者</w:t>
      </w:r>
      <w:r>
        <w:rPr>
          <w:rFonts w:hint="eastAsia" w:ascii="宋体" w:hAnsi="宋体" w:eastAsia="宋体" w:cs="宋体"/>
          <w:color w:val="000000"/>
          <w:sz w:val="24"/>
          <w:szCs w:val="24"/>
        </w:rPr>
        <w:t xml:space="preserve">在评标期间对招标文件做出实质响应的供应商不足三家情况，按政府采购相关规定执行。</w:t>
      </w:r>
      <w:r/>
    </w:p>
    <w:p>
      <w:pPr>
        <w:ind w:firstLine="602"/>
        <w:spacing w:line="360" w:lineRule="auto"/>
        <w:widowControl w:val="off"/>
        <w:rPr>
          <w:rFonts w:hint="default" w:ascii="宋体" w:hAnsi="宋体" w:eastAsia="宋体" w:cs="Times New Roman"/>
          <w:b/>
          <w:bCs/>
          <w:sz w:val="24"/>
          <w:szCs w:val="24"/>
        </w:rPr>
        <w:outlineLvl w:val="1"/>
      </w:pPr>
      <w:r/>
      <w:bookmarkStart w:id="161" w:name="_Toc120614219"/>
      <w:r/>
      <w:bookmarkStart w:id="162" w:name="_Toc184145585"/>
      <w:r/>
      <w:bookmarkStart w:id="163" w:name="_Toc211901908"/>
      <w:r>
        <w:rPr>
          <w:rFonts w:hint="eastAsia" w:ascii="宋体" w:hAnsi="宋体" w:eastAsia="宋体" w:cs="Times New Roman"/>
          <w:b/>
          <w:bCs/>
          <w:sz w:val="24"/>
          <w:szCs w:val="24"/>
        </w:rPr>
        <w:t xml:space="preserve">六、定标</w:t>
      </w:r>
      <w:bookmarkEnd w:id="161"/>
      <w:r/>
      <w:bookmarkEnd w:id="162"/>
      <w:r/>
      <w:bookmarkEnd w:id="163"/>
      <w:r/>
      <w:r/>
    </w:p>
    <w:p>
      <w:pPr>
        <w:ind w:firstLine="600"/>
        <w:jc w:val="left"/>
        <w:spacing w:line="360" w:lineRule="auto"/>
        <w:rPr>
          <w:rFonts w:hint="default" w:ascii="Calibri" w:hAnsi="Calibri" w:eastAsia="Arial" w:cs="Times New Roman"/>
          <w:sz w:val="24"/>
          <w:szCs w:val="24"/>
        </w:rPr>
      </w:pPr>
      <w:r/>
      <w:bookmarkStart w:id="164" w:name="_Toc20823310"/>
      <w:r/>
      <w:bookmarkStart w:id="165" w:name="_Toc16938554"/>
      <w:r/>
      <w:bookmarkStart w:id="166" w:name="_Toc513029238"/>
      <w:r>
        <w:rPr>
          <w:rFonts w:hint="eastAsia" w:ascii="黑体" w:hAnsi="宋体" w:eastAsia="黑体" w:cs="黑体"/>
          <w:color w:val="000000"/>
          <w:sz w:val="24"/>
          <w:szCs w:val="24"/>
        </w:rPr>
        <w:t xml:space="preserve">28、</w:t>
      </w:r>
      <w:bookmarkEnd w:id="164"/>
      <w:r>
        <w:rPr>
          <w:rFonts w:hint="eastAsia" w:ascii="黑体" w:hAnsi="宋体" w:eastAsia="黑体" w:cs="黑体"/>
          <w:color w:val="000000"/>
          <w:sz w:val="24"/>
          <w:szCs w:val="24"/>
        </w:rPr>
        <w:t xml:space="preserve">确定</w:t>
      </w:r>
      <w:bookmarkEnd w:id="165"/>
      <w:r/>
      <w:bookmarkEnd w:id="166"/>
      <w:r>
        <w:rPr>
          <w:rFonts w:hint="eastAsia" w:ascii="黑体" w:hAnsi="宋体" w:eastAsia="黑体" w:cs="黑体"/>
          <w:color w:val="000000"/>
          <w:sz w:val="24"/>
          <w:szCs w:val="24"/>
        </w:rPr>
        <w:t xml:space="preserve">中标单位</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28.1中标候选人的选取原则和数量见招标文件第五章规定。 </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28.2 采购人应根据评委会推荐的中标候选人确定中标人。</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28.3 采购人将在</w:t>
      </w:r>
      <w:r>
        <w:rPr>
          <w:rFonts w:hint="eastAsia" w:ascii="仿宋" w:hAnsi="仿宋" w:eastAsia="Arial" w:cs="仿宋"/>
          <w:color w:val="000000"/>
          <w:sz w:val="24"/>
          <w:szCs w:val="24"/>
        </w:rPr>
        <w:t xml:space="preserve">中国政府采购网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“江苏政府采购网”、“盐城市政府采购网</w:t>
      </w:r>
      <w:r>
        <w:rPr>
          <w:rFonts w:hint="eastAsia" w:ascii="仿宋" w:hAnsi="仿宋" w:eastAsia="Arial" w:cs="仿宋"/>
          <w:color w:val="333333"/>
          <w:sz w:val="24"/>
          <w:szCs w:val="24"/>
          <w:shd w:val="clear" w:color="auto" w:fill="ffffff"/>
        </w:rPr>
        <w:t xml:space="preserve">”</w:t>
      </w:r>
      <w:r>
        <w:rPr>
          <w:rFonts w:hint="eastAsia" w:ascii="宋体" w:hAnsi="宋体" w:eastAsia="宋体" w:cs="宋体"/>
          <w:color w:val="000000"/>
          <w:sz w:val="24"/>
          <w:szCs w:val="24"/>
        </w:rPr>
        <w:t xml:space="preserve">发布中标公告，公告期限为1个工作日。</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  若有充分证据证明，中标人出现下列情况之一的，一经查实，将被取消中标资格：</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28.4.1提供虚假材料谋取中标的。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28.4.2向采购人行贿或者提供其他不正当利益的。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28.4.3属于本文件规定的无效条件，但在评标过程中又未被评委会发现的。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28.4.4与采购人或者其他供应商恶意串通的。</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28.4.5采取不正当手段诋毁、排挤其他供应商的。</w:t>
      </w:r>
      <w:r/>
    </w:p>
    <w:p>
      <w:pPr>
        <w:ind w:firstLine="560"/>
        <w:jc w:val="left"/>
        <w:spacing w:line="360" w:lineRule="auto"/>
        <w:rPr>
          <w:rFonts w:hint="default" w:ascii="Calibri" w:hAnsi="Calibri" w:eastAsia="Arial" w:cs="Times New Roman"/>
          <w:sz w:val="24"/>
          <w:szCs w:val="24"/>
        </w:rPr>
      </w:pPr>
      <w:r/>
      <w:bookmarkStart w:id="167" w:name="_Toc200451960"/>
      <w:r>
        <w:rPr>
          <w:rFonts w:hint="eastAsia" w:ascii="宋体" w:hAnsi="宋体" w:eastAsia="宋体" w:cs="宋体"/>
          <w:color w:val="000000"/>
          <w:sz w:val="24"/>
          <w:szCs w:val="24"/>
        </w:rPr>
        <w:t xml:space="preserve">28.5.</w:t>
      </w:r>
      <w:r>
        <w:rPr>
          <w:rFonts w:hint="default" w:ascii="Times New Roman" w:hAnsi="Times New Roman" w:eastAsia="Arial" w:cs="Times New Roman"/>
          <w:color w:val="000000"/>
          <w:sz w:val="24"/>
          <w:szCs w:val="24"/>
        </w:rPr>
        <w:t xml:space="preserve"> 有下列情形之一的，视为投标人串通投标，投标无效：</w:t>
      </w:r>
      <w:bookmarkEnd w:id="167"/>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28.5.1不同投标人的投标文件由同一单位或者个人编制；</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28.5.2不同投标人委托同一单位或者个人办理投标事宜；</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28.5.3 不同投标人的投标文件载明的项目管理成员或者联系人员为同一人；</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28.5.4不同投标人的投标文件异常一致或者投标报价呈规律性差异；</w:t>
      </w:r>
      <w:r/>
    </w:p>
    <w:p>
      <w:pPr>
        <w:ind w:firstLine="600"/>
        <w:jc w:val="left"/>
        <w:spacing w:line="360" w:lineRule="auto"/>
        <w:rPr>
          <w:rFonts w:hint="default" w:ascii="Calibri" w:hAnsi="Calibri" w:eastAsia="Arial" w:cs="Times New Roman"/>
          <w:sz w:val="24"/>
          <w:szCs w:val="24"/>
        </w:rPr>
      </w:pPr>
      <w:r>
        <w:rPr>
          <w:rFonts w:hint="eastAsia" w:ascii="黑体" w:hAnsi="宋体" w:eastAsia="黑体" w:cs="黑体"/>
          <w:color w:val="000000"/>
          <w:sz w:val="24"/>
          <w:szCs w:val="24"/>
        </w:rPr>
        <w:t xml:space="preserve">29、质疑处理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29.1 提出质疑的供应商应当是参与所质疑项目采购活动的供应商。潜在供应商依法获取其可质疑的采购文件的，可以对采购文件提出质疑。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29.2.1</w:t>
      </w:r>
      <w:r>
        <w:rPr>
          <w:rFonts w:hint="default" w:ascii="Times New Roman" w:hAnsi="Times New Roman" w:eastAsia="Arial" w:cs="Times New Roman"/>
          <w:color w:val="000000"/>
          <w:sz w:val="24"/>
          <w:szCs w:val="24"/>
        </w:rPr>
        <w:t xml:space="preserve">对可以质疑的采购文件提出质疑的，为收到采购文件之日或者采购文件公告期限届满之日；</w:t>
      </w:r>
      <w:r>
        <w:rPr>
          <w:rFonts w:hint="default" w:ascii="Times New Roman" w:hAnsi="Times New Roman" w:eastAsia="Arial" w:cs="Times New Roman"/>
          <w:color w:val="000000"/>
          <w:sz w:val="24"/>
          <w:szCs w:val="24"/>
        </w:rPr>
        <w:br/>
      </w:r>
      <w:r>
        <w:rPr>
          <w:rFonts w:hint="default" w:ascii="Times New Roman" w:hAnsi="Times New Roman" w:eastAsia="Arial" w:cs="Times New Roman"/>
          <w:color w:val="000000"/>
          <w:sz w:val="24"/>
          <w:szCs w:val="24"/>
        </w:rPr>
        <w:t xml:space="preserve">   </w:t>
      </w:r>
      <w:r>
        <w:rPr>
          <w:rFonts w:hint="eastAsia" w:ascii="宋体" w:hAnsi="宋体" w:eastAsia="宋体" w:cs="宋体"/>
          <w:color w:val="000000"/>
          <w:sz w:val="24"/>
          <w:szCs w:val="24"/>
        </w:rPr>
        <w:t xml:space="preserve">29.2.2</w:t>
      </w:r>
      <w:r>
        <w:rPr>
          <w:rFonts w:hint="default" w:ascii="Times New Roman" w:hAnsi="Times New Roman" w:eastAsia="Arial" w:cs="Times New Roman"/>
          <w:color w:val="000000"/>
          <w:sz w:val="24"/>
          <w:szCs w:val="24"/>
        </w:rPr>
        <w:t xml:space="preserve">对采购过程提出质疑的，为各采购程序环节结束之日；</w:t>
      </w:r>
      <w:r>
        <w:rPr>
          <w:rFonts w:hint="default" w:ascii="Times New Roman" w:hAnsi="Times New Roman" w:eastAsia="Arial" w:cs="Times New Roman"/>
          <w:color w:val="000000"/>
          <w:sz w:val="24"/>
          <w:szCs w:val="24"/>
        </w:rPr>
        <w:br/>
      </w:r>
      <w:r>
        <w:rPr>
          <w:rFonts w:hint="default" w:ascii="Times New Roman" w:hAnsi="Times New Roman" w:eastAsia="Arial" w:cs="Times New Roman"/>
          <w:color w:val="000000"/>
          <w:sz w:val="24"/>
          <w:szCs w:val="24"/>
        </w:rPr>
        <w:t xml:space="preserve">   </w:t>
      </w:r>
      <w:r>
        <w:rPr>
          <w:rFonts w:hint="eastAsia" w:ascii="宋体" w:hAnsi="宋体" w:eastAsia="宋体" w:cs="宋体"/>
          <w:color w:val="000000"/>
          <w:sz w:val="24"/>
          <w:szCs w:val="24"/>
        </w:rPr>
        <w:t xml:space="preserve">29.2.3</w:t>
      </w:r>
      <w:r>
        <w:rPr>
          <w:rFonts w:hint="default" w:ascii="Times New Roman" w:hAnsi="Times New Roman" w:eastAsia="Arial" w:cs="Times New Roman"/>
          <w:color w:val="000000"/>
          <w:sz w:val="24"/>
          <w:szCs w:val="24"/>
        </w:rPr>
        <w:t xml:space="preserve">对中标或者成交结果提出质疑的，为中标或者成交结果公告期限届满之日。</w:t>
      </w:r>
      <w:r/>
    </w:p>
    <w:p>
      <w:pPr>
        <w:ind w:firstLine="560"/>
        <w:jc w:val="left"/>
        <w:spacing w:line="360" w:lineRule="auto"/>
        <w:rPr>
          <w:rFonts w:hint="default" w:ascii="Calibri" w:hAnsi="Calibri" w:eastAsia="Arial" w:cs="Times New Roman"/>
          <w:sz w:val="24"/>
          <w:szCs w:val="24"/>
        </w:rPr>
      </w:pPr>
      <w:r>
        <w:rPr>
          <w:rFonts w:hint="default" w:ascii="Times New Roman" w:hAnsi="Times New Roman" w:eastAsia="Arial" w:cs="Times New Roman"/>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jc w:val="left"/>
        <w:spacing w:line="360" w:lineRule="auto"/>
        <w:rPr>
          <w:rFonts w:hint="default" w:ascii="宋体" w:hAnsi="宋体" w:eastAsia="宋体" w:cs="宋体"/>
          <w:sz w:val="24"/>
          <w:szCs w:val="24"/>
        </w:rPr>
      </w:pPr>
      <w:r>
        <w:rPr>
          <w:rFonts w:hint="eastAsia" w:ascii="宋体" w:hAnsi="宋体" w:eastAsia="宋体" w:cs="宋体"/>
          <w:color w:val="000000"/>
          <w:sz w:val="24"/>
          <w:szCs w:val="24"/>
        </w:rPr>
        <w:t xml:space="preserve">29.4 供应</w:t>
      </w:r>
      <w:r>
        <w:rPr>
          <w:rFonts w:hint="eastAsia" w:ascii="宋体" w:hAnsi="宋体" w:eastAsia="宋体" w:cs="宋体"/>
          <w:sz w:val="24"/>
          <w:szCs w:val="24"/>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人提出，由采购人负责答复。</w:t>
      </w:r>
      <w:r/>
    </w:p>
    <w:p>
      <w:pPr>
        <w:ind w:firstLine="560"/>
        <w:jc w:val="left"/>
        <w:spacing w:line="360" w:lineRule="auto"/>
        <w:rPr>
          <w:rFonts w:hint="default" w:ascii="宋体" w:hAnsi="宋体" w:eastAsia="宋体" w:cs="宋体"/>
          <w:sz w:val="24"/>
          <w:szCs w:val="24"/>
        </w:rPr>
      </w:pPr>
      <w:r>
        <w:rPr>
          <w:rFonts w:hint="eastAsia" w:ascii="宋体" w:hAnsi="宋体" w:eastAsia="宋体" w:cs="宋体"/>
          <w:sz w:val="24"/>
          <w:szCs w:val="24"/>
        </w:rPr>
        <w:t xml:space="preserve">采购人只接收以纸质原件形式送达的质疑,采购人不接受未填写快递运单的快件。</w:t>
      </w:r>
      <w:r/>
    </w:p>
    <w:p>
      <w:pPr>
        <w:ind w:right="0" w:firstLine="480"/>
        <w:jc w:val="left"/>
        <w:keepLines w:val="0"/>
        <w:keepNext w:val="0"/>
        <w:pageBreakBefore w:val="0"/>
        <w:spacing w:line="360" w:lineRule="auto"/>
        <w:widowControl w:val="off"/>
        <w:rPr>
          <w:rFonts w:hint="default"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质疑受理部门：</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 xml:space="preserve">东台市东台镇人民政府</w:t>
      </w:r>
      <w:r/>
    </w:p>
    <w:p>
      <w:pPr>
        <w:ind w:right="0" w:firstLine="480"/>
        <w:jc w:val="left"/>
        <w:keepLines w:val="0"/>
        <w:keepNext w:val="0"/>
        <w:pageBreakBefore w:val="0"/>
        <w:spacing w:line="360" w:lineRule="auto"/>
        <w:widowControl w:val="off"/>
        <w:rPr>
          <w:rFonts w:hint="default" w:ascii="宋体" w:hAnsi="宋体" w:eastAsia="宋体" w:cs="宋体"/>
          <w:color w:val="0d0d0d" w:themeColor="text1" w:themeTint="F2"/>
          <w:sz w:val="24"/>
          <w:szCs w:val="24"/>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联系地址：</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 xml:space="preserve">东台市宁树路199号</w:t>
      </w:r>
      <w:r/>
    </w:p>
    <w:p>
      <w:pPr>
        <w:ind w:right="0" w:firstLine="480"/>
        <w:jc w:val="left"/>
        <w:keepLines w:val="0"/>
        <w:keepNext w:val="0"/>
        <w:pageBreakBefore w:val="0"/>
        <w:spacing w:line="360" w:lineRule="auto"/>
        <w:widowControl w:val="off"/>
        <w:rPr>
          <w:rFonts w:hint="default" w:ascii="宋体" w:hAnsi="宋体" w:eastAsia="宋体" w:cs="宋体"/>
          <w:color w:val="0d0d0d" w:themeColor="text1" w:themeTint="F2"/>
          <w:sz w:val="24"/>
          <w:szCs w:val="24"/>
          <w:lang w:val="en-US"/>
          <w14:textFill>
            <w14:solidFill>
              <w14:schemeClr w14:val="tx1">
                <w14:lumMod w14:val="95000"/>
                <w14:lumOff w14:val="5000"/>
              </w14:schemeClr>
            </w14:solidFill>
          </w14:textFill>
        </w:rPr>
      </w:pP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联系电话：</w:t>
      </w:r>
      <w:r>
        <w:rPr>
          <w:rFonts w:hint="eastAsia" w:ascii="宋体" w:hAnsi="宋体" w:eastAsia="宋体" w:cs="宋体"/>
          <w:color w:val="0d0d0d" w:themeColor="text1" w:themeTint="F2"/>
          <w:sz w:val="24"/>
          <w:szCs w:val="24"/>
          <w:u w:val="single"/>
          <w:lang w:val="en-US" w:eastAsia="zh-CN"/>
          <w14:textFill>
            <w14:solidFill>
              <w14:schemeClr w14:val="tx1">
                <w14:lumMod w14:val="95000"/>
                <w14:lumOff w14:val="5000"/>
              </w14:schemeClr>
            </w14:solidFill>
          </w14:textFill>
        </w:rPr>
        <w:t xml:space="preserve">桂先生 15351517758</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 以下情形的质疑不予受理</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29.5.1 内容不符合《政府采购质疑和投诉办法》第十二条规定的质疑。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29.5.2 超出政府采购法定期限的质疑。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29.5.3 以传真、电子邮件等方式递交的非原件形式的质疑。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29.5.4 未参加投标活动的供应商或在投标活动中自身权益未受到损害的供应商所提出的质疑。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29.5.5供应商组成联合体参加投标，联合体中任何一方或多方未按要求签字、盖章、加盖公章的质疑。</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29.6</w:t>
      </w:r>
      <w:r>
        <w:rPr>
          <w:rFonts w:hint="default" w:ascii="宋体" w:hAnsi="宋体" w:eastAsia="宋体" w:cs="宋体"/>
          <w:color w:val="000000"/>
          <w:sz w:val="24"/>
          <w:szCs w:val="24"/>
        </w:rPr>
        <w:t xml:space="preserve"> </w:t>
      </w:r>
      <w:r>
        <w:rPr>
          <w:rFonts w:hint="eastAsia" w:ascii="宋体" w:hAnsi="宋体" w:eastAsia="宋体" w:cs="宋体"/>
          <w:color w:val="000000"/>
          <w:sz w:val="24"/>
          <w:szCs w:val="24"/>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jc w:val="left"/>
        <w:spacing w:line="360" w:lineRule="auto"/>
        <w:rPr>
          <w:rFonts w:hint="default" w:ascii="Calibri" w:hAnsi="Calibri" w:eastAsia="Arial" w:cs="Times New Roman"/>
          <w:sz w:val="24"/>
          <w:szCs w:val="24"/>
        </w:rPr>
      </w:pPr>
      <w:r>
        <w:rPr>
          <w:rFonts w:hint="eastAsia" w:ascii="黑体" w:hAnsi="宋体" w:eastAsia="黑体" w:cs="黑体"/>
          <w:color w:val="000000"/>
          <w:sz w:val="24"/>
          <w:szCs w:val="24"/>
        </w:rPr>
        <w:t xml:space="preserve">30、中标通知书</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30.l</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中标结果确定后，采购人将向中标人发出中标通知书。请中标人在中标结果公告届满之日起30日内,使用CA数字证书</w:t>
      </w:r>
      <w:r>
        <w:rPr>
          <w:rFonts w:hint="eastAsia" w:ascii="宋体" w:hAnsi="宋体" w:eastAsia="宋体" w:cs="宋体"/>
          <w:sz w:val="24"/>
          <w:szCs w:val="24"/>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rPr>
        <w:t xml:space="preserve">标人自行承担。</w:t>
      </w:r>
      <w:r/>
    </w:p>
    <w:p>
      <w:pPr>
        <w:ind w:firstLine="56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0"/>
        <w:jc w:val="left"/>
        <w:spacing w:line="360" w:lineRule="auto"/>
        <w:rPr>
          <w:rFonts w:hint="default" w:ascii="宋体" w:hAnsi="宋体" w:eastAsia="宋体" w:cs="宋体"/>
          <w:b/>
          <w:bCs/>
          <w:color w:val="000000"/>
          <w:sz w:val="24"/>
          <w:szCs w:val="24"/>
        </w:rPr>
      </w:pPr>
      <w:r>
        <w:rPr>
          <w:rFonts w:hint="default" w:ascii="宋体" w:hAnsi="宋体" w:eastAsia="宋体" w:cs="宋体"/>
          <w:b/>
          <w:bCs/>
          <w:color w:val="000000"/>
          <w:sz w:val="24"/>
          <w:szCs w:val="24"/>
          <w:lang w:val="en-US" w:eastAsia="zh-CN"/>
        </w:rPr>
        <w:t xml:space="preserve">注：本项目招标代理服务费</w:t>
      </w:r>
      <w:r>
        <w:rPr>
          <w:rFonts w:hint="eastAsia" w:ascii="宋体" w:hAnsi="宋体" w:eastAsia="宋体" w:cs="宋体"/>
          <w:b/>
          <w:bCs/>
          <w:color w:val="000000"/>
          <w:sz w:val="24"/>
          <w:szCs w:val="24"/>
          <w:lang w:val="en-US" w:eastAsia="zh-CN"/>
        </w:rPr>
        <w:t xml:space="preserve">由招标人支付，按每包中标价的3‰计取代理服务费</w:t>
      </w:r>
      <w:r>
        <w:rPr>
          <w:rFonts w:hint="default" w:ascii="宋体" w:hAnsi="宋体" w:eastAsia="宋体" w:cs="宋体"/>
          <w:b/>
          <w:bCs/>
          <w:color w:val="000000"/>
          <w:sz w:val="24"/>
          <w:szCs w:val="24"/>
          <w:lang w:val="en-US" w:eastAsia="zh-CN"/>
        </w:rPr>
        <w:t xml:space="preserve">。</w:t>
      </w:r>
      <w:r/>
    </w:p>
    <w:p>
      <w:pPr>
        <w:ind w:firstLine="602"/>
        <w:spacing w:line="360" w:lineRule="auto"/>
        <w:widowControl w:val="off"/>
        <w:rPr>
          <w:rFonts w:hint="default" w:ascii="宋体" w:hAnsi="宋体" w:eastAsia="宋体" w:cs="Times New Roman"/>
          <w:b/>
          <w:bCs/>
          <w:sz w:val="24"/>
          <w:szCs w:val="24"/>
        </w:rPr>
        <w:outlineLvl w:val="1"/>
      </w:pPr>
      <w:r/>
      <w:bookmarkStart w:id="168" w:name="_Toc16938552"/>
      <w:r/>
      <w:bookmarkStart w:id="169" w:name="_Toc513029236"/>
      <w:r/>
      <w:bookmarkStart w:id="170" w:name="_Toc20823308"/>
      <w:r/>
      <w:bookmarkStart w:id="171" w:name="_Toc184145586"/>
      <w:r/>
      <w:bookmarkStart w:id="172" w:name="_Toc120614220"/>
      <w:r/>
      <w:bookmarkStart w:id="173" w:name="_Toc211901909"/>
      <w:r>
        <w:rPr>
          <w:rFonts w:hint="eastAsia" w:ascii="宋体" w:hAnsi="宋体" w:eastAsia="宋体" w:cs="Times New Roman"/>
          <w:b/>
          <w:bCs/>
          <w:sz w:val="24"/>
          <w:szCs w:val="24"/>
        </w:rPr>
        <w:t xml:space="preserve">七、授予合同</w:t>
      </w:r>
      <w:bookmarkEnd w:id="168"/>
      <w:r/>
      <w:bookmarkEnd w:id="169"/>
      <w:r/>
      <w:bookmarkEnd w:id="170"/>
      <w:r/>
      <w:bookmarkEnd w:id="171"/>
      <w:r/>
      <w:bookmarkEnd w:id="172"/>
      <w:r/>
      <w:bookmarkEnd w:id="173"/>
      <w:r/>
      <w:r/>
    </w:p>
    <w:p>
      <w:pPr>
        <w:ind w:firstLine="600"/>
        <w:jc w:val="left"/>
        <w:spacing w:line="360" w:lineRule="auto"/>
        <w:rPr>
          <w:rFonts w:hint="default" w:ascii="Calibri" w:hAnsi="Calibri" w:eastAsia="Arial" w:cs="Times New Roman"/>
          <w:sz w:val="24"/>
          <w:szCs w:val="24"/>
        </w:rPr>
      </w:pPr>
      <w:r/>
      <w:bookmarkStart w:id="174" w:name="_Toc16938553"/>
      <w:r/>
      <w:bookmarkStart w:id="175" w:name="_Toc513029237"/>
      <w:r/>
      <w:bookmarkStart w:id="176" w:name="_Toc20823309"/>
      <w:r>
        <w:rPr>
          <w:rFonts w:hint="eastAsia" w:ascii="黑体" w:hAnsi="宋体" w:eastAsia="黑体" w:cs="黑体"/>
          <w:color w:val="000000"/>
          <w:sz w:val="24"/>
          <w:szCs w:val="24"/>
        </w:rPr>
        <w:t xml:space="preserve">31. 签订合同</w:t>
      </w:r>
      <w:bookmarkEnd w:id="174"/>
      <w:r/>
      <w:bookmarkEnd w:id="175"/>
      <w:r/>
      <w:bookmarkEnd w:id="176"/>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31.l中标人应当在中标通知书发出之日起三十日内，按照招标文件确定的事项与采购人签订政府采购合同。</w:t>
      </w:r>
      <w:r/>
    </w:p>
    <w:p>
      <w:pPr>
        <w:ind w:firstLine="560"/>
        <w:jc w:val="left"/>
        <w:spacing w:line="360" w:lineRule="auto"/>
        <w:rPr>
          <w:rFonts w:hint="default" w:ascii="Calibri" w:hAnsi="Calibri" w:eastAsia="Arial" w:cs="Times New Roman"/>
          <w:color w:val="auto"/>
          <w:sz w:val="24"/>
          <w:szCs w:val="24"/>
        </w:rPr>
      </w:pPr>
      <w:r>
        <w:rPr>
          <w:rFonts w:hint="eastAsia" w:ascii="宋体" w:hAnsi="宋体" w:eastAsia="宋体" w:cs="宋体"/>
          <w:color w:val="000000"/>
          <w:sz w:val="24"/>
          <w:szCs w:val="24"/>
        </w:rPr>
        <w:t xml:space="preserve">31.2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招标文件、中标人的投标文件及招标过程中有关澄清、承诺文件均应作</w:t>
      </w:r>
      <w:r>
        <w:rPr>
          <w:rFonts w:hint="eastAsia" w:ascii="宋体" w:hAnsi="宋体" w:eastAsia="宋体" w:cs="宋体"/>
          <w:color w:val="auto"/>
          <w:sz w:val="24"/>
          <w:szCs w:val="24"/>
        </w:rPr>
        <w:t xml:space="preserve">为合同附件。</w:t>
      </w:r>
      <w:r/>
    </w:p>
    <w:p>
      <w:pPr>
        <w:ind w:firstLine="560"/>
        <w:jc w:val="left"/>
        <w:spacing w:line="360" w:lineRule="auto"/>
        <w:rPr>
          <w:rFonts w:hint="default" w:ascii="宋体" w:hAnsi="宋体" w:eastAsia="宋体" w:cs="宋体"/>
          <w:color w:val="000000"/>
          <w:sz w:val="24"/>
          <w:szCs w:val="24"/>
        </w:rPr>
      </w:pPr>
      <w:r>
        <w:rPr>
          <w:rFonts w:hint="eastAsia" w:ascii="宋体" w:hAnsi="宋体" w:eastAsia="宋体" w:cs="宋体"/>
          <w:color w:val="auto"/>
          <w:sz w:val="24"/>
          <w:szCs w:val="24"/>
        </w:rPr>
        <w:t xml:space="preserve">30.3签订合同后，</w:t>
      </w:r>
      <w:r>
        <w:rPr>
          <w:rFonts w:hint="eastAsia" w:ascii="宋体" w:hAnsi="宋体" w:eastAsia="宋体" w:cs="宋体"/>
          <w:b/>
          <w:i/>
          <w:color w:val="auto"/>
          <w:sz w:val="24"/>
          <w:szCs w:val="24"/>
          <w:u w:val="single"/>
        </w:rPr>
        <w:t xml:space="preserve">中标人不得将合同标的进行转包</w:t>
      </w:r>
      <w:r>
        <w:rPr>
          <w:rFonts w:hint="eastAsia" w:ascii="宋体" w:hAnsi="宋体" w:eastAsia="宋体" w:cs="宋体"/>
          <w:color w:val="auto"/>
          <w:sz w:val="24"/>
          <w:szCs w:val="24"/>
        </w:rPr>
        <w:t xml:space="preserve">。未经</w:t>
      </w:r>
      <w:r>
        <w:rPr>
          <w:rFonts w:hint="eastAsia" w:ascii="宋体" w:hAnsi="宋体" w:eastAsia="宋体" w:cs="宋体"/>
          <w:color w:val="000000"/>
          <w:sz w:val="24"/>
          <w:szCs w:val="24"/>
        </w:rPr>
        <w:t xml:space="preserve">采购人同意，中标人也不得采用分包的形式履行合同，否则采购人有权终止合同。转包或分包造成采购人损失的，中标人应承担相应赔偿责任。</w:t>
      </w:r>
      <w:r/>
    </w:p>
    <w:p>
      <w:pPr>
        <w:ind w:firstLine="560"/>
        <w:jc w:val="left"/>
        <w:spacing w:line="360" w:lineRule="auto"/>
        <w:rPr>
          <w:rFonts w:hint="default" w:ascii="Calibri" w:hAnsi="Calibri" w:eastAsia="Arial" w:cs="Times New Roman"/>
          <w:color w:val="auto"/>
          <w:sz w:val="24"/>
          <w:szCs w:val="24"/>
        </w:rPr>
      </w:pPr>
      <w:r>
        <w:rPr>
          <w:rFonts w:hint="eastAsia" w:ascii="Calibri" w:hAnsi="Calibri" w:eastAsia="Arial" w:cs="Times New Roman"/>
          <w:color w:val="auto"/>
          <w:sz w:val="24"/>
          <w:szCs w:val="24"/>
        </w:rPr>
        <w:t xml:space="preserve">32、货物（包含与货物相关的服务）的追加</w:t>
      </w:r>
      <w:r/>
    </w:p>
    <w:p>
      <w:pPr>
        <w:ind w:firstLine="560"/>
        <w:jc w:val="left"/>
        <w:spacing w:line="360" w:lineRule="auto"/>
        <w:rPr>
          <w:rFonts w:hint="default" w:ascii="Calibri" w:hAnsi="Calibri" w:eastAsia="Arial" w:cs="Times New Roman"/>
          <w:sz w:val="24"/>
          <w:szCs w:val="24"/>
        </w:rPr>
      </w:pPr>
      <w:r>
        <w:rPr>
          <w:rFonts w:hint="eastAsia" w:ascii="宋体" w:hAnsi="宋体" w:eastAsia="宋体" w:cs="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560"/>
        <w:jc w:val="left"/>
        <w:spacing w:line="360" w:lineRule="auto"/>
        <w:rPr>
          <w:rFonts w:hint="default" w:ascii="Calibri" w:hAnsi="Calibri" w:eastAsia="Arial" w:cs="Times New Roman"/>
          <w:sz w:val="24"/>
          <w:szCs w:val="24"/>
        </w:rPr>
      </w:pPr>
      <w:r/>
      <w:bookmarkStart w:id="177" w:name="_Toc513029242"/>
      <w:r/>
      <w:bookmarkStart w:id="178" w:name="_Toc479757207"/>
      <w:r/>
      <w:bookmarkStart w:id="179" w:name="_Toc16938558"/>
      <w:r/>
      <w:bookmarkStart w:id="180" w:name="_Toc120614221"/>
      <w:r/>
      <w:bookmarkStart w:id="181" w:name="_Toc20823314"/>
      <w:r>
        <w:rPr>
          <w:rFonts w:hint="eastAsia" w:ascii="Calibri" w:hAnsi="Calibri" w:eastAsia="Arial" w:cs="Times New Roman"/>
          <w:sz w:val="24"/>
          <w:szCs w:val="24"/>
        </w:rPr>
        <w:t xml:space="preserve">33.政府采购政策功能落实</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33.1政府采购线上合同信用融资政策</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33.2进口产品</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33.3中小企业、监狱企业及残疾人福利性单位</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33.3.1中小企业定义：</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中小企业是</w:t>
      </w:r>
      <w:r>
        <w:rPr>
          <w:rFonts w:hint="eastAsia" w:ascii="Calibri" w:hAnsi="Calibri" w:eastAsia="Arial" w:cs="Times New Roman"/>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33.3.2供应商提供的货物、工程或者服务符合下列情形的，享受中小企业扶持政策：</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33.3.2.1在货物采购项目中，货物由中小企业制造，即货物由中小企业生产且使用该中小企业商号或者注册商标；</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33.3.2.2在工程采购项目中，工程由中小企业承建，即工程施工单位为中小企业；</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33.3.2.3在服务采购项目中，服务由中小企业承接，即提供服务的人员为中小企业依照《中华人民共和国劳动合同法》订立劳动合同的从业人员。</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33.3.3在货物采购项目中，供应商提供的货物既有中小企业制造货物，也有大型企业制造货物的，不享受中小企业扶持政策。</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33.3.4以联合体形式参加政府采购活动，联合体各方均为中小企业的，联合体视同中小企业。其中，联合体各方均为小微企业的，联合体视同小微企业。</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33.3.6残疾人福利单位定义：享受政府采购支持政策的残疾人福利性单位应当同时满足以下条件：</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33.3.6.1安置的残疾人占本单位在职职工人数的比例不低于25%（含25%），并且安置的残疾人人数不少于10 人（含10 人）；</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33.3.6.2依法与安置的每位残疾人签订了一年以上（含一年）的劳动合同或服务协议；</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33.3.6.3为安置的每位残疾人按月足额缴纳了基本养老保险、基本医疗保险、失业保险、工伤保险和生育保险等社会保险费；</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33.3.6.4通过银行等金融机构向安置的每位残疾人，按月支付了不低于单位所在区县适用的经省级人民政府批准的月最低工资标准的工资；</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33.3.6.5提供本单位制造的货物、承担的工程或者服务（以下简称产品），或者提供其他残疾人福利性单位制造的货物（不包括使用非残疾人福利性单位注册商标的货物）；</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33.3.7本项目是否专门面向中小企业预留采购份额见第一章《招标公告》。</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33.3.8采购标的对应的中小企业划分标准所属行业见第四章《采购需求》。</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33.3.9小微企业价格评审优惠的政策：见第五章《评标方法和评标标准》。</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33.4政府采购节能产品、环境标志产品</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Calibri" w:hAnsi="Calibri" w:eastAsia="Arial" w:cs="Times New Roman"/>
          <w:b/>
          <w:i/>
          <w:sz w:val="24"/>
          <w:szCs w:val="24"/>
        </w:rPr>
        <w:t xml:space="preserve">如属政府强制采购产品未提供认证证书的或认证证书提供不全的将视为未实质性响应采购要求</w:t>
      </w:r>
      <w:r>
        <w:rPr>
          <w:rFonts w:hint="eastAsia" w:ascii="Calibri" w:hAnsi="Calibri" w:eastAsia="Arial" w:cs="Times New Roman"/>
          <w:i/>
          <w:sz w:val="24"/>
          <w:szCs w:val="24"/>
        </w:rPr>
        <w:t xml:space="preserve">。</w:t>
      </w:r>
      <w:r>
        <w:rPr>
          <w:rFonts w:hint="eastAsia" w:ascii="Calibri" w:hAnsi="Calibri" w:eastAsia="Arial" w:cs="Times New Roman"/>
          <w:sz w:val="24"/>
          <w:szCs w:val="24"/>
        </w:rPr>
        <w:t xml:space="preserve">其他条件相同情况下，应当优先采购节能产品、环境标志产品。</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33.5绿色包装</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33.6政府采购创新产品</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采购人优先采购各级政府部门公开发布的有效期内的创新产品、创新服务、首台套、首购首用等《目录》的创新产品。</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33.7绿色数据中心政策 </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本文件中若涉及到数据中心采购，采购人应依据《绿色数据中心政府采购需求标准（试行）》（财办库〔2023〕7号）文件精神</w:t>
      </w:r>
      <w:r>
        <w:rPr>
          <w:rFonts w:hint="eastAsia" w:ascii="Calibri" w:hAnsi="Calibri" w:eastAsia="Arial" w:cs="Times New Roman"/>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33.8履约保证金政策</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确需收取履约保证金的，履约保证金的缴纳形式：</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 如以履约保函（保险）形式缴纳履约保证金，供应商可通过政府采购电子履约保函（保险）平台（www.jsdzbh.com）在线申请履约保函（保险）。</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560"/>
        <w:jc w:val="left"/>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34. 预付款制度</w:t>
      </w:r>
      <w:r/>
    </w:p>
    <w:p>
      <w:pPr>
        <w:ind w:firstLine="560"/>
        <w:jc w:val="left"/>
        <w:spacing w:line="360" w:lineRule="auto"/>
        <w:rPr>
          <w:rFonts w:hint="default" w:ascii="宋体" w:hAnsi="宋体" w:eastAsia="宋体" w:cs="宋体"/>
          <w:color w:val="000000"/>
          <w:sz w:val="28"/>
        </w:rPr>
      </w:pPr>
      <w:r>
        <w:rPr>
          <w:rFonts w:hint="eastAsia" w:ascii="宋体" w:hAnsi="宋体" w:eastAsia="宋体" w:cs="宋体"/>
          <w:color w:val="000000"/>
          <w:sz w:val="24"/>
          <w:szCs w:val="24"/>
        </w:rPr>
        <w:t xml:space="preserve">本项目落实预付款制</w:t>
      </w:r>
      <w:r>
        <w:rPr>
          <w:rFonts w:hint="eastAsia" w:ascii="宋体" w:hAnsi="宋体" w:eastAsia="宋体" w:cs="宋体"/>
          <w:color w:val="auto"/>
          <w:sz w:val="24"/>
          <w:szCs w:val="24"/>
        </w:rPr>
        <w:t xml:space="preserve">度，</w:t>
      </w:r>
      <w:r>
        <w:rPr>
          <w:rFonts w:hint="eastAsia" w:ascii="宋体" w:hAnsi="宋体" w:eastAsia="宋体" w:cs="宋体"/>
          <w:b/>
          <w:color w:val="auto"/>
          <w:sz w:val="24"/>
          <w:szCs w:val="24"/>
        </w:rPr>
        <w:t xml:space="preserve">预付款比例为：合同总价的</w:t>
      </w:r>
      <w:r>
        <w:rPr>
          <w:rFonts w:hint="default" w:ascii="宋体" w:hAnsi="宋体" w:eastAsia="宋体" w:cs="宋体"/>
          <w:b/>
          <w:color w:val="auto"/>
          <w:sz w:val="24"/>
          <w:szCs w:val="24"/>
          <w:u w:val="single"/>
        </w:rPr>
        <w:t xml:space="preserve">30</w:t>
      </w:r>
      <w:r>
        <w:rPr>
          <w:rFonts w:hint="eastAsia" w:ascii="宋体" w:hAnsi="宋体" w:eastAsia="宋体" w:cs="宋体"/>
          <w:b/>
          <w:color w:val="auto"/>
          <w:sz w:val="24"/>
          <w:szCs w:val="24"/>
          <w:u w:val="single"/>
        </w:rPr>
        <w:t xml:space="preserve">%</w:t>
      </w:r>
      <w:r>
        <w:rPr>
          <w:rFonts w:hint="eastAsia" w:ascii="宋体" w:hAnsi="宋体" w:eastAsia="宋体" w:cs="宋体"/>
          <w:color w:val="auto"/>
          <w:sz w:val="24"/>
          <w:szCs w:val="24"/>
        </w:rPr>
        <w:t xml:space="preserve">。在</w:t>
      </w:r>
      <w:r>
        <w:rPr>
          <w:rFonts w:hint="eastAsia" w:ascii="宋体" w:hAnsi="宋体" w:eastAsia="宋体" w:cs="宋体"/>
          <w:color w:val="000000"/>
          <w:sz w:val="24"/>
          <w:szCs w:val="24"/>
        </w:rPr>
        <w:t xml:space="preserve">签订合同时，中标、成交供应商明确书面表示无需预付款或者主动要求降低预付款比例的，采购人可就预付款比例作相应调整。</w:t>
      </w:r>
      <w:bookmarkEnd w:id="177"/>
      <w:r/>
      <w:bookmarkEnd w:id="178"/>
      <w:r/>
      <w:bookmarkEnd w:id="179"/>
      <w:r/>
      <w:bookmarkEnd w:id="180"/>
      <w:r/>
      <w:bookmarkEnd w:id="181"/>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700"/>
        <w:ind w:left="0" w:firstLine="560"/>
        <w:spacing w:after="0"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jc w:val="center"/>
        <w:spacing w:line="360" w:lineRule="auto"/>
        <w:widowControl/>
        <w:rPr>
          <w:rFonts w:ascii="宋体" w:hAnsi="宋体" w:cs="宋体"/>
          <w:b/>
          <w:sz w:val="48"/>
          <w:szCs w:val="44"/>
          <w:highlight w:val="none"/>
        </w:rPr>
      </w:pPr>
      <w:r>
        <w:rPr>
          <w:sz w:val="36"/>
          <w:szCs w:val="44"/>
          <w:highlight w:val="none"/>
        </w:rPr>
        <w:t xml:space="preserve"> </w:t>
      </w:r>
      <w:bookmarkStart w:id="182" w:name="_Toc479757211"/>
      <w:r/>
      <w:bookmarkStart w:id="183" w:name="_Toc462564139"/>
      <w:r/>
      <w:bookmarkStart w:id="184" w:name="_Toc20823346"/>
      <w:r/>
      <w:bookmarkStart w:id="185" w:name="_Hlt16619350"/>
      <w:r/>
      <w:bookmarkStart w:id="186" w:name="_Toc16938590"/>
      <w:r/>
      <w:bookmarkStart w:id="187" w:name="_Toc120614244"/>
      <w:r/>
      <w:bookmarkStart w:id="188" w:name="_Hlt16619369"/>
      <w:r>
        <w:rPr>
          <w:rFonts w:hint="eastAsia" w:ascii="宋体" w:hAnsi="宋体" w:cs="宋体"/>
          <w:b/>
          <w:sz w:val="48"/>
          <w:szCs w:val="44"/>
          <w:highlight w:val="none"/>
        </w:rPr>
        <w:t xml:space="preserve">第三</w:t>
      </w:r>
      <w:r>
        <w:rPr>
          <w:rFonts w:hint="eastAsia" w:ascii="宋体" w:hAnsi="宋体" w:cs="宋体"/>
          <w:b/>
          <w:sz w:val="48"/>
          <w:szCs w:val="44"/>
          <w:highlight w:val="none"/>
          <w:lang w:eastAsia="zh-CN"/>
        </w:rPr>
        <w:t xml:space="preserve">章</w:t>
      </w:r>
      <w:r>
        <w:rPr>
          <w:rFonts w:hint="eastAsia" w:ascii="宋体" w:hAnsi="宋体" w:cs="宋体"/>
          <w:b/>
          <w:sz w:val="48"/>
          <w:szCs w:val="44"/>
          <w:highlight w:val="none"/>
        </w:rPr>
        <w:t xml:space="preserve">  合同条款</w:t>
      </w:r>
      <w:r/>
    </w:p>
    <w:p>
      <w:pPr>
        <w:rPr>
          <w:rFonts w:ascii="宋体" w:hAnsi="宋体" w:cs="宋体"/>
          <w:highlight w:val="none"/>
        </w:rPr>
      </w:pPr>
      <w:r/>
      <w:bookmarkStart w:id="189" w:name="EB6d2006462e294de090c16e672cecc3bd"/>
      <w:r/>
      <w:bookmarkEnd w:id="189"/>
      <w:r/>
    </w:p>
    <w:p>
      <w:pPr>
        <w:jc w:val="center"/>
        <w:rPr>
          <w:rFonts w:ascii="宋体" w:hAnsi="宋体" w:cs="宋体"/>
          <w:b/>
          <w:bCs/>
          <w:spacing w:val="-20"/>
          <w:sz w:val="48"/>
          <w:szCs w:val="48"/>
          <w:highlight w:val="none"/>
        </w:rPr>
      </w:pPr>
      <w:r/>
      <w:bookmarkStart w:id="190" w:name="_Toc3995"/>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b/>
          <w:bCs/>
          <w:spacing w:val="-20"/>
          <w:sz w:val="48"/>
          <w:szCs w:val="48"/>
          <w:highlight w:val="none"/>
        </w:rPr>
      </w:pPr>
      <w:r>
        <w:rPr>
          <w:rFonts w:ascii="宋体" w:hAnsi="宋体" w:cs="宋体"/>
          <w:b/>
          <w:bCs/>
          <w:spacing w:val="-20"/>
          <w:sz w:val="48"/>
          <w:szCs w:val="48"/>
          <w:highlight w:val="none"/>
        </w:rPr>
      </w:r>
      <w:r/>
    </w:p>
    <w:p>
      <w:pPr>
        <w:jc w:val="center"/>
        <w:rPr>
          <w:rFonts w:ascii="宋体" w:hAnsi="宋体" w:cs="宋体"/>
          <w:sz w:val="30"/>
          <w:highlight w:val="none"/>
        </w:rPr>
      </w:pPr>
      <w:r>
        <w:rPr>
          <w:rFonts w:ascii="宋体" w:hAnsi="宋体" w:cs="宋体"/>
          <w:sz w:val="30"/>
          <w:highlight w:val="none"/>
        </w:rPr>
      </w:r>
      <w:r/>
    </w:p>
    <w:p>
      <w:pPr>
        <w:jc w:val="center"/>
        <w:rPr>
          <w:rFonts w:ascii="宋体" w:hAnsi="宋体" w:cs="宋体"/>
          <w:sz w:val="30"/>
          <w:highlight w:val="none"/>
        </w:rPr>
      </w:pPr>
      <w:r>
        <w:rPr>
          <w:rFonts w:hint="eastAsia" w:ascii="宋体" w:hAnsi="宋体" w:cs="宋体"/>
          <w:sz w:val="30"/>
          <w:highlight w:val="none"/>
        </w:rPr>
        <w:t xml:space="preserve">政府采购货物买卖合同</w:t>
      </w:r>
      <w:r/>
    </w:p>
    <w:p>
      <w:pPr>
        <w:jc w:val="cente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rPr>
          <w:rFonts w:ascii="宋体" w:hAnsi="宋体" w:cs="宋体"/>
          <w:sz w:val="30"/>
          <w:highlight w:val="none"/>
        </w:rPr>
      </w:pPr>
      <w:r>
        <w:rPr>
          <w:rFonts w:ascii="宋体" w:hAnsi="宋体" w:cs="宋体"/>
          <w:sz w:val="30"/>
          <w:highlight w:val="none"/>
        </w:rPr>
      </w:r>
      <w:r/>
    </w:p>
    <w:p>
      <w:pPr>
        <w:ind w:left="420"/>
        <w:spacing w:line="360" w:lineRule="auto"/>
        <w:rPr>
          <w:rFonts w:ascii="宋体" w:hAnsi="宋体" w:cs="宋体"/>
          <w:sz w:val="30"/>
          <w:highlight w:val="none"/>
        </w:rPr>
      </w:pPr>
      <w:r>
        <w:rPr>
          <w:rFonts w:hint="eastAsia" w:ascii="宋体" w:hAnsi="宋体" w:cs="宋体"/>
          <w:sz w:val="30"/>
          <w:highlight w:val="none"/>
        </w:rPr>
        <w:t xml:space="preserve">项目名称：</w:t>
      </w:r>
      <w:r/>
    </w:p>
    <w:p>
      <w:pPr>
        <w:ind w:left="420"/>
        <w:spacing w:line="360" w:lineRule="auto"/>
        <w:rPr>
          <w:rFonts w:ascii="宋体" w:hAnsi="宋体" w:cs="宋体"/>
          <w:sz w:val="30"/>
          <w:highlight w:val="none"/>
        </w:rPr>
      </w:pPr>
      <w:r>
        <w:rPr>
          <w:rFonts w:hint="eastAsia" w:ascii="宋体" w:hAnsi="宋体" w:cs="宋体"/>
          <w:sz w:val="30"/>
          <w:highlight w:val="none"/>
        </w:rPr>
        <w:t xml:space="preserve">合同编号：</w:t>
      </w:r>
      <w:r/>
    </w:p>
    <w:p>
      <w:pPr>
        <w:ind w:left="420"/>
        <w:spacing w:line="360" w:lineRule="auto"/>
        <w:rPr>
          <w:rFonts w:ascii="宋体" w:hAnsi="宋体" w:cs="宋体"/>
          <w:sz w:val="30"/>
          <w:highlight w:val="none"/>
        </w:rPr>
      </w:pPr>
      <w:r>
        <w:rPr>
          <w:rFonts w:hint="eastAsia" w:ascii="宋体" w:hAnsi="宋体" w:cs="宋体"/>
          <w:sz w:val="30"/>
          <w:highlight w:val="none"/>
        </w:rPr>
        <w:t xml:space="preserve">甲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乙    方：</w:t>
      </w:r>
      <w:r/>
    </w:p>
    <w:p>
      <w:pPr>
        <w:ind w:left="420"/>
        <w:spacing w:line="360" w:lineRule="auto"/>
        <w:rPr>
          <w:rFonts w:ascii="宋体" w:hAnsi="宋体" w:cs="宋体"/>
          <w:sz w:val="30"/>
          <w:highlight w:val="none"/>
        </w:rPr>
      </w:pPr>
      <w:r>
        <w:rPr>
          <w:rFonts w:hint="eastAsia" w:ascii="宋体" w:hAnsi="宋体" w:cs="宋体"/>
          <w:sz w:val="30"/>
          <w:highlight w:val="none"/>
        </w:rPr>
        <w:t xml:space="preserve">签订时间：</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jc w:val="center"/>
        <w:rPr>
          <w:rFonts w:eastAsia="黑体"/>
          <w:sz w:val="44"/>
          <w:szCs w:val="44"/>
          <w:highlight w:val="none"/>
        </w:rPr>
      </w:pPr>
      <w:r>
        <w:rPr>
          <w:rFonts w:hint="eastAsia" w:eastAsia="黑体"/>
          <w:sz w:val="44"/>
          <w:szCs w:val="44"/>
          <w:highlight w:val="none"/>
        </w:rPr>
        <w:t xml:space="preserve">使用说明</w:t>
      </w:r>
      <w:r/>
    </w:p>
    <w:p>
      <w:pPr>
        <w:ind w:firstLine="640"/>
        <w:rPr>
          <w:rFonts w:ascii="仿宋_GB2312" w:hAnsi="仿宋_GB2312" w:eastAsia="仿宋_GB2312" w:cs="仿宋_GB2312"/>
          <w:sz w:val="32"/>
          <w:szCs w:val="32"/>
          <w:highlight w:val="none"/>
        </w:rPr>
      </w:pPr>
      <w:r>
        <w:rPr>
          <w:rFonts w:ascii="仿宋_GB2312" w:hAnsi="仿宋_GB2312" w:eastAsia="仿宋_GB2312" w:cs="仿宋_GB2312"/>
          <w:sz w:val="32"/>
          <w:szCs w:val="32"/>
          <w:highlight w:val="none"/>
        </w:rPr>
      </w:r>
      <w:r/>
    </w:p>
    <w:p>
      <w:pPr>
        <w:ind w:firstLine="640"/>
        <w:spacing w:line="360" w:lineRule="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1.本合同标准文本适用于购买现成货物的采购项目，不包括需要供应商定制开发、创新研发的货物采购项目。</w:t>
      </w:r>
      <w:r/>
    </w:p>
    <w:p>
      <w:pPr>
        <w:spacing w:line="360" w:lineRule="auto"/>
        <w:rPr>
          <w:rFonts w:eastAsia="黑体"/>
          <w:sz w:val="40"/>
          <w:szCs w:val="40"/>
          <w:highlight w:val="none"/>
        </w:rPr>
      </w:pPr>
      <w:r>
        <w:rPr>
          <w:rFonts w:hint="eastAsia" w:ascii="仿宋_GB2312" w:hAnsi="仿宋_GB2312" w:eastAsia="仿宋_GB2312" w:cs="仿宋_GB2312"/>
          <w:sz w:val="28"/>
          <w:szCs w:val="28"/>
          <w:highlight w:val="none"/>
        </w:rPr>
        <w:t xml:space="preserve">2.本合同标准文本为政府采购货物买卖合同编制提供参考，可以结合采购项目具体情况，对文本作必要的调整修订后使用。</w:t>
      </w:r>
      <w:r/>
    </w:p>
    <w:p>
      <w:pPr>
        <w:ind w:firstLine="640"/>
        <w:spacing w:line="360" w:lineRule="auto"/>
        <w:rPr>
          <w:rFonts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highlight w:val="none"/>
        </w:rPr>
        <w:sectPr>
          <w:footerReference w:type="default" r:id="rId11"/>
          <w:footnotePr/>
          <w:endnotePr/>
          <w:type w:val="nextPage"/>
          <w:pgSz w:w="11906" w:h="16838" w:orient="portrait"/>
          <w:pgMar w:top="1440" w:right="1800" w:bottom="1440" w:left="1800" w:header="851" w:footer="794" w:gutter="0"/>
          <w:pgNumType w:start="1"/>
          <w:cols w:num="1" w:sep="0" w:space="425" w:equalWidth="1"/>
          <w:docGrid w:linePitch="360"/>
        </w:sectPr>
      </w:pPr>
      <w:r>
        <w:rPr>
          <w:rFonts w:eastAsia="黑体"/>
          <w:sz w:val="44"/>
          <w:szCs w:val="44"/>
          <w:highlight w:val="none"/>
        </w:rPr>
      </w:r>
      <w:bookmarkEnd w:id="190"/>
      <w:r/>
    </w:p>
    <w:p>
      <w:pPr>
        <w:jc w:val="center"/>
        <w:keepLines/>
        <w:keepNext/>
        <w:spacing w:line="400" w:lineRule="exact"/>
        <w:rPr>
          <w:rFonts w:ascii="黑体" w:hAnsi="华文中宋" w:eastAsia="黑体"/>
          <w:sz w:val="28"/>
          <w:szCs w:val="28"/>
          <w:highlight w:val="none"/>
        </w:rPr>
        <w:outlineLvl w:val="1"/>
      </w:pPr>
      <w:r/>
      <w:bookmarkStart w:id="191" w:name="_Toc22209"/>
      <w:r>
        <w:rPr>
          <w:rFonts w:hint="eastAsia" w:ascii="黑体" w:hAnsi="黑体" w:eastAsia="黑体"/>
          <w:sz w:val="28"/>
          <w:szCs w:val="28"/>
          <w:highlight w:val="none"/>
        </w:rPr>
        <w:t xml:space="preserve">第一节 </w:t>
      </w:r>
      <w:r>
        <w:rPr>
          <w:rFonts w:hint="eastAsia" w:ascii="黑体" w:hAnsi="华文中宋" w:eastAsia="黑体"/>
          <w:sz w:val="28"/>
          <w:szCs w:val="28"/>
          <w:highlight w:val="none"/>
        </w:rPr>
        <w:t xml:space="preserve">政府采购合同协议书</w:t>
      </w:r>
      <w:bookmarkEnd w:id="191"/>
      <w:r/>
      <w:r/>
    </w:p>
    <w:p>
      <w:pPr>
        <w:jc w:val="center"/>
        <w:keepLines/>
        <w:keepNext/>
        <w:spacing w:line="360" w:lineRule="auto"/>
        <w:rPr>
          <w:rFonts w:ascii="黑体" w:hAnsi="华文中宋" w:eastAsia="黑体"/>
          <w:sz w:val="28"/>
          <w:szCs w:val="28"/>
          <w:highlight w:val="none"/>
        </w:rPr>
        <w:outlineLvl w:val="1"/>
      </w:pPr>
      <w:r>
        <w:rPr>
          <w:rFonts w:ascii="黑体" w:hAnsi="华文中宋" w:eastAsia="黑体"/>
          <w:sz w:val="28"/>
          <w:szCs w:val="28"/>
          <w:highlight w:val="none"/>
        </w:rPr>
      </w:r>
      <w:r/>
    </w:p>
    <w:p>
      <w:pPr>
        <w:spacing w:line="360" w:lineRule="auto"/>
        <w:rPr>
          <w:rFonts w:hint="default" w:ascii="宋体" w:hAnsi="宋体" w:eastAsiaTheme="minorEastAsia"/>
          <w:sz w:val="24"/>
          <w:highlight w:val="none"/>
          <w:lang w:val="en-US" w:eastAsia="zh-CN"/>
        </w:rPr>
      </w:pPr>
      <w:r>
        <w:rPr>
          <w:rFonts w:hint="eastAsia" w:ascii="宋体" w:hAnsi="宋体"/>
          <w:sz w:val="24"/>
          <w:highlight w:val="none"/>
        </w:rPr>
        <w:t xml:space="preserve">甲方（全称）：</w:t>
      </w:r>
      <w:r>
        <w:rPr>
          <w:rFonts w:hint="eastAsia" w:ascii="宋体" w:hAnsi="宋体"/>
          <w:sz w:val="24"/>
          <w:highlight w:val="none"/>
          <w:lang w:val="en-US" w:eastAsia="zh-CN"/>
        </w:rPr>
        <w:t xml:space="preserve">东台市东台镇人民政府</w:t>
      </w:r>
      <w:r/>
    </w:p>
    <w:p>
      <w:pPr>
        <w:spacing w:line="360" w:lineRule="auto"/>
        <w:rPr>
          <w:rFonts w:ascii="宋体" w:hAnsi="宋体"/>
          <w:sz w:val="24"/>
          <w:highlight w:val="none"/>
        </w:rPr>
      </w:pPr>
      <w:r>
        <w:rPr>
          <w:rFonts w:hint="eastAsia" w:ascii="宋体" w:hAnsi="宋体"/>
          <w:sz w:val="24"/>
          <w:highlight w:val="none"/>
        </w:rPr>
        <w:t xml:space="preserve">乙方（全称）：</w:t>
      </w:r>
      <w:r>
        <w:rPr>
          <w:rFonts w:ascii="宋体" w:hAnsi="宋体"/>
          <w:sz w:val="24"/>
          <w:highlight w:val="none"/>
        </w:rPr>
        <w:t xml:space="preserve"> </w:t>
      </w:r>
      <w:r/>
    </w:p>
    <w:p>
      <w:pPr>
        <w:ind w:firstLine="480"/>
        <w:spacing w:line="360" w:lineRule="auto"/>
        <w:rPr>
          <w:rFonts w:ascii="宋体" w:hAnsi="宋体"/>
          <w:sz w:val="24"/>
          <w:highlight w:val="none"/>
        </w:rPr>
      </w:pPr>
      <w:r>
        <w:rPr>
          <w:rFonts w:hint="eastAsia" w:ascii="宋体" w:hAnsi="宋体"/>
          <w:sz w:val="24"/>
          <w:highlight w:val="none"/>
        </w:rPr>
        <w:t xml:space="preserve">依据《中华人民共和国民法典</w:t>
      </w:r>
      <w:r>
        <w:rPr>
          <w:rFonts w:hint="eastAsia" w:ascii="宋体" w:hAnsi="宋体"/>
          <w:sz w:val="24"/>
          <w:highlight w:val="none"/>
          <w:lang w:eastAsia="zh-CN"/>
        </w:rPr>
        <w:t xml:space="preserve">》《</w:t>
      </w:r>
      <w:r>
        <w:rPr>
          <w:rFonts w:hint="eastAsia" w:ascii="宋体" w:hAnsi="宋体"/>
          <w:sz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项目信息</w:t>
      </w:r>
      <w:r/>
    </w:p>
    <w:p>
      <w:pPr>
        <w:numPr>
          <w:ilvl w:val="0"/>
          <w:numId w:val="2"/>
        </w:numPr>
        <w:ind w:firstLine="480"/>
        <w:spacing w:line="360" w:lineRule="auto"/>
        <w:rPr>
          <w:rFonts w:ascii="宋体" w:hAnsi="宋体"/>
          <w:sz w:val="24"/>
          <w:highlight w:val="none"/>
          <w:u w:val="single"/>
        </w:rPr>
      </w:pPr>
      <w:r>
        <w:rPr>
          <w:rFonts w:hint="eastAsia" w:ascii="宋体" w:hAnsi="宋体"/>
          <w:sz w:val="24"/>
          <w:highlight w:val="none"/>
        </w:rPr>
        <w:t xml:space="preserve">采购项目名称：</w:t>
      </w:r>
      <w:r>
        <w:rPr>
          <w:rFonts w:hint="eastAsia" w:ascii="宋体" w:hAnsi="宋体"/>
          <w:sz w:val="24"/>
          <w:highlight w:val="none"/>
          <w:lang w:val="en-US" w:eastAsia="zh-CN"/>
        </w:rPr>
        <w:t xml:space="preserve">时堰镇、海陵南路、富安镇、安丰镇2025年政府专职消防队装备器材采购项目（包</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w:t>
      </w:r>
      <w:r/>
    </w:p>
    <w:p>
      <w:pPr>
        <w:numPr>
          <w:ilvl w:val="255"/>
          <w:numId w:val="0"/>
        </w:numPr>
        <w:spacing w:line="360" w:lineRule="auto"/>
        <w:tabs>
          <w:tab w:val="left" w:pos="999" w:leader="none"/>
        </w:tabs>
        <w:rPr>
          <w:rFonts w:ascii="宋体" w:hAnsi="宋体"/>
          <w:sz w:val="24"/>
          <w:highlight w:val="none"/>
        </w:rPr>
      </w:pPr>
      <w:r>
        <w:rPr>
          <w:rFonts w:hint="eastAsia" w:ascii="宋体" w:hAnsi="宋体"/>
          <w:sz w:val="24"/>
          <w:highlight w:val="none"/>
        </w:rPr>
        <w:t xml:space="preserve">         采购项目编号：</w:t>
      </w:r>
      <w:r/>
    </w:p>
    <w:p>
      <w:pPr>
        <w:ind w:firstLine="480"/>
        <w:spacing w:line="360" w:lineRule="auto"/>
        <w:rPr>
          <w:rFonts w:ascii="宋体" w:hAnsi="宋体"/>
          <w:sz w:val="24"/>
          <w:highlight w:val="none"/>
        </w:rPr>
      </w:pPr>
      <w:r>
        <w:rPr>
          <w:rFonts w:hint="eastAsia" w:ascii="宋体" w:hAnsi="宋体"/>
          <w:sz w:val="24"/>
          <w:highlight w:val="none"/>
        </w:rPr>
        <w:t xml:space="preserve">（2）采购计划编号：</w:t>
      </w:r>
      <w:r/>
    </w:p>
    <w:p>
      <w:pPr>
        <w:ind w:firstLine="480"/>
        <w:spacing w:line="360" w:lineRule="auto"/>
        <w:rPr>
          <w:rFonts w:ascii="宋体" w:hAnsi="宋体"/>
          <w:sz w:val="24"/>
          <w:highlight w:val="none"/>
        </w:rPr>
      </w:pPr>
      <w:r>
        <w:rPr>
          <w:rFonts w:hint="eastAsia" w:ascii="宋体" w:hAnsi="宋体"/>
          <w:sz w:val="24"/>
          <w:highlight w:val="none"/>
        </w:rPr>
        <w:t xml:space="preserve">（3）项目内容：</w:t>
      </w:r>
      <w:r/>
    </w:p>
    <w:p>
      <w:pPr>
        <w:ind w:firstLine="480"/>
        <w:spacing w:line="360" w:lineRule="auto"/>
        <w:rPr>
          <w:rFonts w:ascii="宋体" w:hAnsi="宋体"/>
          <w:sz w:val="24"/>
          <w:highlight w:val="none"/>
        </w:rPr>
      </w:pPr>
      <w:r>
        <w:rPr>
          <w:rFonts w:hint="eastAsia" w:ascii="宋体" w:hAnsi="宋体"/>
          <w:sz w:val="24"/>
          <w:highlight w:val="none"/>
        </w:rPr>
        <w:t xml:space="preserve">采购标的及数量（台/套</w:t>
      </w:r>
      <w:r>
        <w:rPr>
          <w:rFonts w:ascii="宋体" w:hAnsi="宋体"/>
          <w:sz w:val="24"/>
          <w:highlight w:val="none"/>
        </w:rPr>
        <w:t xml:space="preserve">/</w:t>
      </w:r>
      <w:r>
        <w:rPr>
          <w:rFonts w:hint="eastAsia" w:ascii="宋体" w:hAnsi="宋体"/>
          <w:sz w:val="24"/>
          <w:highlight w:val="none"/>
        </w:rPr>
        <w:t xml:space="preserve">个</w:t>
      </w:r>
      <w:r>
        <w:rPr>
          <w:rFonts w:ascii="宋体" w:hAnsi="宋体"/>
          <w:sz w:val="24"/>
          <w:highlight w:val="none"/>
        </w:rPr>
        <w:t xml:space="preserve">/</w:t>
      </w:r>
      <w:r>
        <w:rPr>
          <w:rFonts w:hint="eastAsia" w:ascii="宋体" w:hAnsi="宋体"/>
          <w:sz w:val="24"/>
          <w:highlight w:val="none"/>
        </w:rPr>
        <w:t xml:space="preserve">架</w:t>
      </w:r>
      <w:r>
        <w:rPr>
          <w:rFonts w:ascii="宋体" w:hAnsi="宋体"/>
          <w:sz w:val="24"/>
          <w:highlight w:val="none"/>
        </w:rPr>
        <w:t xml:space="preserve">/</w:t>
      </w:r>
      <w:r>
        <w:rPr>
          <w:rFonts w:hint="eastAsia" w:ascii="宋体" w:hAnsi="宋体"/>
          <w:sz w:val="24"/>
          <w:highlight w:val="none"/>
        </w:rPr>
        <w:t xml:space="preserve">组等）：</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品牌：规格型号：</w:t>
      </w:r>
      <w:r/>
    </w:p>
    <w:p>
      <w:pPr>
        <w:ind w:firstLine="1080"/>
        <w:spacing w:line="360" w:lineRule="auto"/>
        <w:rPr>
          <w:rFonts w:ascii="宋体" w:hAnsi="宋体"/>
          <w:sz w:val="24"/>
          <w:highlight w:val="none"/>
          <w:u w:val="single"/>
        </w:rPr>
      </w:pPr>
      <w:r>
        <w:rPr>
          <w:rFonts w:hint="eastAsia" w:ascii="宋体" w:hAnsi="宋体"/>
          <w:sz w:val="24"/>
          <w:highlight w:val="none"/>
        </w:rPr>
        <w:t xml:space="preserve">采购标的的技术要求、商务要求具体见附件。</w:t>
      </w:r>
      <w:r/>
    </w:p>
    <w:p>
      <w:pPr>
        <w:numPr>
          <w:ilvl w:val="255"/>
          <w:numId w:val="0"/>
        </w:numPr>
        <w:ind w:firstLine="1080"/>
        <w:spacing w:line="360" w:lineRule="auto"/>
        <w:rPr>
          <w:rFonts w:ascii="宋体" w:hAnsi="宋体" w:cs="宋体"/>
          <w:sz w:val="24"/>
          <w:highlight w:val="none"/>
        </w:rPr>
      </w:pPr>
      <w:r>
        <w:rPr>
          <w:rFonts w:hint="eastAsia" w:ascii="宋体" w:hAnsi="宋体" w:cs="宋体"/>
          <w:sz w:val="24"/>
          <w:highlight w:val="none"/>
        </w:rPr>
        <w:t xml:space="preserve">①涉及信息类产品，请填写该产品关键部件的品牌、型号：</w:t>
      </w:r>
      <w:r/>
    </w:p>
    <w:p>
      <w:pPr>
        <w:numPr>
          <w:ilvl w:val="255"/>
          <w:numId w:val="0"/>
        </w:numPr>
        <w:ind w:firstLine="480"/>
        <w:spacing w:line="360" w:lineRule="auto"/>
        <w:rPr>
          <w:rFonts w:ascii="宋体" w:hAnsi="宋体" w:cs="宋体"/>
          <w:sz w:val="24"/>
          <w:highlight w:val="none"/>
          <w:u w:val="single"/>
        </w:rPr>
      </w:pPr>
      <w:r>
        <w:rPr>
          <w:rFonts w:hint="eastAsia" w:ascii="宋体" w:hAnsi="宋体" w:cs="宋体"/>
          <w:sz w:val="24"/>
          <w:highlight w:val="none"/>
        </w:rPr>
        <w:t xml:space="preserve">     标的名称：</w:t>
      </w:r>
      <w:r/>
    </w:p>
    <w:p>
      <w:pPr>
        <w:ind w:firstLine="480"/>
        <w:spacing w:line="400" w:lineRule="exact"/>
        <w:rPr>
          <w:rFonts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t xml:space="preserve">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697"/>
        <w:ind w:firstLine="42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rPr>
        <w:t xml:space="preserve">关键部件</w:t>
      </w:r>
      <w:r>
        <w:rPr>
          <w:rFonts w:hint="eastAsia" w:ascii="宋体" w:hAnsi="宋体" w:eastAsia="宋体" w:cs="宋体"/>
          <w:sz w:val="21"/>
          <w:highlight w:val="none"/>
        </w:rPr>
        <w:t xml:space="preserve">：</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697"/>
        <w:ind w:firstLine="420"/>
        <w:rPr>
          <w:rFonts w:hint="eastAsia" w:ascii="宋体" w:hAnsi="宋体" w:eastAsia="宋体" w:cs="宋体"/>
          <w:sz w:val="21"/>
          <w:highlight w:val="none"/>
        </w:rP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numPr>
          <w:ilvl w:val="255"/>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②涉及车辆采购，请填写是否属于新能源汽车：</w:t>
      </w:r>
      <w:r/>
    </w:p>
    <w:p>
      <w:pPr>
        <w:numPr>
          <w:ilvl w:val="255"/>
          <w:numId w:val="0"/>
        </w:numPr>
        <w:jc w:val="left"/>
        <w:spacing w:line="360" w:lineRule="auto"/>
        <w:widowControl/>
        <w:rPr>
          <w:rFonts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 数量： 金额：</w:t>
      </w:r>
      <w:r/>
    </w:p>
    <w:p>
      <w:pPr>
        <w:numPr>
          <w:ilvl w:val="255"/>
          <w:numId w:val="0"/>
        </w:numPr>
        <w:jc w:val="left"/>
        <w:spacing w:line="360" w:lineRule="auto"/>
        <w:widowControl/>
        <w:rPr>
          <w:rFonts w:ascii="宋体" w:hAnsi="宋体" w:cs="宋体"/>
          <w:sz w:val="24"/>
          <w:highlight w:val="none"/>
        </w:rPr>
      </w:pP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numPr>
          <w:ilvl w:val="255"/>
          <w:numId w:val="0"/>
        </w:numPr>
        <w:jc w:val="left"/>
        <w:spacing w:line="360" w:lineRule="auto"/>
        <w:widowControl/>
        <w:rPr>
          <w:rFonts w:ascii="宋体" w:hAnsi="宋体" w:cs="宋体"/>
          <w:sz w:val="24"/>
          <w:highlight w:val="none"/>
        </w:rPr>
      </w:pPr>
      <w:r>
        <w:rPr>
          <w:rFonts w:hint="eastAsia" w:ascii="宋体" w:hAnsi="宋体" w:cs="宋体"/>
          <w:sz w:val="24"/>
          <w:highlight w:val="none"/>
        </w:rPr>
        <w:t xml:space="preserve">    （</w:t>
      </w:r>
      <w:r>
        <w:rPr>
          <w:rFonts w:ascii="宋体" w:hAnsi="宋体" w:cs="宋体"/>
          <w:sz w:val="24"/>
          <w:highlight w:val="none"/>
        </w:rPr>
        <w:t xml:space="preserve">4</w:t>
      </w:r>
      <w:r>
        <w:rPr>
          <w:rFonts w:hint="eastAsia" w:ascii="宋体" w:hAnsi="宋体" w:cs="宋体"/>
          <w:sz w:val="24"/>
          <w:highlight w:val="none"/>
        </w:rPr>
        <w:t xml:space="preserve">）政府采购组织形式：</w:t>
      </w:r>
      <w:r>
        <w:rPr>
          <w:rFonts w:ascii="Wingdings" w:hAnsi="Wingdings" w:eastAsia="Wingdings" w:cs="Wingdings"/>
          <w:sz w:val="24"/>
          <w:highlight w:val="none"/>
        </w:rPr>
        <w:t xml:space="preserve"></w:t>
      </w:r>
      <w:r>
        <w:rPr>
          <w:rFonts w:hint="eastAsia" w:ascii="宋体" w:hAnsi="宋体" w:cs="宋体"/>
          <w:sz w:val="24"/>
          <w:highlight w:val="none"/>
        </w:rPr>
        <w:t xml:space="preserve">政府集中采购</w:t>
      </w:r>
      <w:r>
        <w:rPr>
          <w:rFonts w:ascii="Wingdings" w:hAnsi="Wingdings" w:eastAsia="Wingdings" w:cs="Wingdings"/>
          <w:sz w:val="24"/>
          <w:highlight w:val="none"/>
        </w:rPr>
        <w:t xml:space="preserve"></w:t>
      </w:r>
      <w:r>
        <w:rPr>
          <w:rFonts w:hint="eastAsia" w:ascii="宋体" w:hAnsi="宋体" w:cs="宋体"/>
          <w:sz w:val="24"/>
          <w:highlight w:val="none"/>
        </w:rPr>
        <w:t xml:space="preserve">部门集中采购  </w:t>
      </w:r>
      <w:r>
        <w:rPr>
          <w:rFonts w:ascii="Wingdings" w:hAnsi="Wingdings" w:eastAsia="Wingdings" w:cs="Wingdings"/>
          <w:sz w:val="24"/>
          <w:highlight w:val="none"/>
        </w:rPr>
        <w:t xml:space="preserve"></w:t>
      </w:r>
      <w:r>
        <w:rPr>
          <w:rFonts w:hint="eastAsia" w:ascii="宋体" w:hAnsi="宋体" w:cs="宋体"/>
          <w:sz w:val="24"/>
          <w:highlight w:val="none"/>
        </w:rPr>
        <w:t xml:space="preserve">分散采购</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）政府采购方式：</w:t>
      </w:r>
      <w:r>
        <w:rPr>
          <w:rFonts w:ascii="Wingdings" w:hAnsi="Wingdings" w:eastAsia="Wingdings" w:cs="Wingdings"/>
          <w:sz w:val="24"/>
          <w:highlight w:val="none"/>
        </w:rPr>
        <w:t xml:space="preserve"></w:t>
      </w:r>
      <w:r>
        <w:rPr>
          <w:rFonts w:hint="eastAsia" w:ascii="宋体" w:hAnsi="宋体" w:cs="宋体"/>
          <w:sz w:val="24"/>
          <w:highlight w:val="none"/>
        </w:rPr>
        <w:t xml:space="preserve">公开招标</w:t>
      </w:r>
      <w:r>
        <w:rPr>
          <w:rFonts w:ascii="Wingdings" w:hAnsi="Wingdings" w:eastAsia="Wingdings" w:cs="Wingdings"/>
          <w:sz w:val="24"/>
          <w:highlight w:val="none"/>
        </w:rPr>
        <w:t xml:space="preserve"></w:t>
      </w:r>
      <w:r>
        <w:rPr>
          <w:rFonts w:hint="eastAsia" w:ascii="宋体" w:hAnsi="宋体" w:cs="宋体"/>
          <w:sz w:val="24"/>
          <w:highlight w:val="none"/>
        </w:rPr>
        <w:t xml:space="preserve">邀请招标</w:t>
      </w:r>
      <w:r>
        <w:rPr>
          <w:rFonts w:ascii="Wingdings" w:hAnsi="Wingdings" w:eastAsia="Wingdings" w:cs="Wingdings"/>
          <w:sz w:val="24"/>
          <w:highlight w:val="none"/>
        </w:rPr>
        <w:t xml:space="preserve"></w:t>
      </w:r>
      <w:r>
        <w:rPr>
          <w:rFonts w:hint="eastAsia" w:ascii="宋体" w:hAnsi="宋体" w:cs="宋体"/>
          <w:sz w:val="24"/>
          <w:highlight w:val="none"/>
        </w:rPr>
        <w:t xml:space="preserve">竞争性谈判</w:t>
      </w:r>
      <w:r>
        <w:rPr>
          <w:rFonts w:ascii="Wingdings" w:hAnsi="Wingdings" w:eastAsia="Wingdings" w:cs="Wingdings"/>
          <w:sz w:val="24"/>
          <w:highlight w:val="none"/>
        </w:rPr>
        <w:t xml:space="preserve"></w:t>
      </w:r>
      <w:r>
        <w:rPr>
          <w:rFonts w:hint="eastAsia" w:ascii="宋体" w:hAnsi="宋体" w:cs="宋体"/>
          <w:sz w:val="24"/>
          <w:highlight w:val="none"/>
        </w:rPr>
        <w:t xml:space="preserve">竞争性磋商</w:t>
      </w:r>
      <w:r/>
    </w:p>
    <w:p>
      <w:pPr>
        <w:numPr>
          <w:ilvl w:val="255"/>
          <w:numId w:val="0"/>
        </w:numPr>
        <w:ind w:firstLine="420"/>
        <w:jc w:val="left"/>
        <w:spacing w:line="360" w:lineRule="auto"/>
        <w:widowControl/>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询价</w:t>
      </w:r>
      <w:r>
        <w:rPr>
          <w:rFonts w:ascii="Wingdings" w:hAnsi="Wingdings" w:eastAsia="Wingdings" w:cs="Wingdings"/>
          <w:sz w:val="24"/>
          <w:highlight w:val="none"/>
        </w:rPr>
        <w:t xml:space="preserve"></w:t>
      </w:r>
      <w:r>
        <w:rPr>
          <w:rFonts w:hint="eastAsia" w:ascii="宋体" w:hAnsi="宋体" w:cs="宋体"/>
          <w:sz w:val="24"/>
          <w:highlight w:val="none"/>
        </w:rPr>
        <w:t xml:space="preserve">单一来源</w:t>
      </w:r>
      <w:r>
        <w:rPr>
          <w:rFonts w:ascii="Wingdings" w:hAnsi="Wingdings" w:eastAsia="Wingdings" w:cs="Wingdings"/>
          <w:sz w:val="24"/>
          <w:highlight w:val="none"/>
        </w:rPr>
        <w:t xml:space="preserve"></w:t>
      </w:r>
      <w:r>
        <w:rPr>
          <w:rFonts w:hint="eastAsia" w:ascii="宋体" w:hAnsi="宋体" w:cs="宋体"/>
          <w:sz w:val="24"/>
          <w:highlight w:val="none"/>
        </w:rPr>
        <w:t xml:space="preserve">框架协议</w:t>
      </w:r>
      <w:r>
        <w:rPr>
          <w:rFonts w:ascii="Wingdings" w:hAnsi="Wingdings" w:eastAsia="Wingdings" w:cs="Wingdings"/>
          <w:sz w:val="24"/>
          <w:highlight w:val="none"/>
        </w:rPr>
        <w:t xml:space="preserve"></w:t>
      </w:r>
      <w:r>
        <w:rPr>
          <w:rFonts w:hint="eastAsia" w:ascii="宋体" w:hAnsi="宋体" w:cs="宋体"/>
          <w:sz w:val="24"/>
          <w:highlight w:val="none"/>
        </w:rPr>
        <w:t xml:space="preserve">其他：</w:t>
      </w:r>
      <w:r/>
    </w:p>
    <w:p>
      <w:pPr>
        <w:numPr>
          <w:ilvl w:val="255"/>
          <w:numId w:val="0"/>
        </w:numPr>
        <w:ind w:firstLine="420"/>
        <w:jc w:val="left"/>
        <w:spacing w:line="360" w:lineRule="auto"/>
        <w:widowControl/>
        <w:rPr>
          <w:rFonts w:ascii="宋体" w:hAnsi="宋体" w:cs="宋体"/>
          <w:sz w:val="24"/>
          <w:highlight w:val="none"/>
        </w:rPr>
      </w:pPr>
      <w:r>
        <w:rPr>
          <w:rFonts w:hint="eastAsia" w:ascii="宋体" w:hAnsi="宋体" w:cs="宋体"/>
          <w:sz w:val="24"/>
          <w:highlight w:val="none"/>
        </w:rPr>
        <w:t xml:space="preserve">（注：在框架协议采购的第二阶段，可选择使用该合同文本）</w:t>
      </w:r>
      <w:r/>
    </w:p>
    <w:p>
      <w:pPr>
        <w:numPr>
          <w:ilvl w:val="255"/>
          <w:numId w:val="0"/>
        </w:numPr>
        <w:ind w:firstLine="240"/>
        <w:jc w:val="left"/>
        <w:spacing w:line="360" w:lineRule="auto"/>
        <w:widowControl/>
        <w:rPr>
          <w:rFonts w:ascii="宋体" w:hAnsi="宋体"/>
          <w:sz w:val="24"/>
          <w:highlight w:val="none"/>
        </w:rPr>
      </w:pPr>
      <w:r>
        <w:rPr>
          <w:rFonts w:hint="eastAsia" w:ascii="宋体" w:hAnsi="宋体" w:eastAsia="华文楷体" w:cs="华文楷体"/>
          <w:sz w:val="24"/>
          <w:highlight w:val="none"/>
        </w:rPr>
        <w:t xml:space="preserve"> （</w:t>
      </w:r>
      <w:r>
        <w:rPr>
          <w:rFonts w:ascii="宋体" w:hAnsi="宋体" w:eastAsia="华文楷体" w:cs="华文楷体"/>
          <w:sz w:val="24"/>
          <w:highlight w:val="none"/>
        </w:rPr>
        <w:t xml:space="preserve">6</w:t>
      </w:r>
      <w:r>
        <w:rPr>
          <w:rFonts w:hint="eastAsia" w:ascii="宋体" w:hAnsi="宋体" w:eastAsia="华文楷体" w:cs="华文楷体"/>
          <w:sz w:val="24"/>
          <w:highlight w:val="none"/>
        </w:rPr>
        <w:t xml:space="preserve">）</w:t>
      </w:r>
      <w:r>
        <w:rPr>
          <w:rFonts w:hint="eastAsia" w:ascii="宋体" w:hAnsi="宋体"/>
          <w:sz w:val="24"/>
          <w:highlight w:val="none"/>
        </w:rPr>
        <w:t xml:space="preserve">中标（成交）采购标的制造商是否为中小企业：</w:t>
      </w: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iCs/>
          <w:sz w:val="24"/>
          <w:highlight w:val="none"/>
        </w:rPr>
      </w:pPr>
      <w:r>
        <w:rPr>
          <w:rFonts w:hint="eastAsia" w:ascii="宋体" w:hAnsi="宋体"/>
          <w:sz w:val="24"/>
          <w:highlight w:val="none"/>
        </w:rPr>
        <w:t xml:space="preserve">         本合同是否为专门面向中小企业的采购合同（中小企业预留合同）：</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若本项目不专门面向中小企业采购，是否给予小微企业评审优惠：</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numPr>
          <w:ilvl w:val="255"/>
          <w:numId w:val="0"/>
        </w:numPr>
        <w:spacing w:line="360" w:lineRule="auto"/>
        <w:rPr>
          <w:rFonts w:ascii="宋体" w:hAnsi="宋体"/>
          <w:iCs/>
          <w:sz w:val="24"/>
          <w:highlight w:val="none"/>
        </w:rPr>
      </w:pPr>
      <w:r>
        <w:rPr>
          <w:rFonts w:hint="eastAsia"/>
          <w:sz w:val="24"/>
          <w:highlight w:val="none"/>
        </w:rPr>
        <w:t xml:space="preserve">         中标（成交）采购标的制造商是否为残疾人福利性单位：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spacing w:line="360" w:lineRule="auto"/>
        <w:rPr>
          <w:sz w:val="24"/>
          <w:highlight w:val="none"/>
        </w:rPr>
      </w:pPr>
      <w:r>
        <w:rPr>
          <w:rFonts w:hint="eastAsia"/>
          <w:sz w:val="24"/>
          <w:highlight w:val="none"/>
        </w:rPr>
        <w:t xml:space="preserve">         中标（成交）采购标的制造商是否为监狱企业：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480"/>
        <w:spacing w:line="360" w:lineRule="auto"/>
        <w:rPr>
          <w:rFonts w:ascii="宋体" w:hAnsi="宋体"/>
          <w:sz w:val="24"/>
          <w:highlight w:val="none"/>
        </w:rPr>
      </w:pPr>
      <w:r>
        <w:rPr>
          <w:rFonts w:hint="eastAsia" w:ascii="宋体" w:hAnsi="宋体"/>
          <w:sz w:val="24"/>
          <w:highlight w:val="none"/>
        </w:rPr>
        <w:t xml:space="preserve">（</w:t>
      </w:r>
      <w:r>
        <w:rPr>
          <w:rFonts w:ascii="宋体" w:hAnsi="宋体"/>
          <w:sz w:val="24"/>
          <w:highlight w:val="none"/>
        </w:rPr>
        <w:t xml:space="preserve">7</w:t>
      </w:r>
      <w:r>
        <w:rPr>
          <w:rFonts w:hint="eastAsia" w:ascii="宋体" w:hAnsi="宋体"/>
          <w:sz w:val="24"/>
          <w:highlight w:val="none"/>
        </w:rPr>
        <w:t xml:space="preserve">）合同是否分包：</w:t>
      </w:r>
      <w:r>
        <w:rPr>
          <w:rFonts w:ascii="Wingdings" w:hAnsi="Wingdings" w:eastAsia="Wingdings" w:cs="Wingdings"/>
          <w:iCs/>
          <w:sz w:val="24"/>
          <w:highlight w:val="none"/>
        </w:rPr>
        <w:t xml:space="preserve"></w:t>
      </w:r>
      <w:r>
        <w:rPr>
          <w:rFonts w:hint="eastAsia" w:ascii="宋体" w:hAnsi="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iCs/>
          <w:sz w:val="24"/>
          <w:highlight w:val="none"/>
        </w:rPr>
        <w:t xml:space="preserve">否</w:t>
      </w:r>
      <w:r/>
    </w:p>
    <w:p>
      <w:pPr>
        <w:ind w:firstLine="960"/>
        <w:spacing w:line="360" w:lineRule="auto"/>
        <w:rPr>
          <w:rFonts w:ascii="宋体" w:hAnsi="宋体"/>
          <w:sz w:val="24"/>
          <w:highlight w:val="none"/>
          <w:u w:val="single"/>
        </w:rPr>
      </w:pPr>
      <w:r>
        <w:rPr>
          <w:rFonts w:hint="eastAsia" w:ascii="宋体" w:hAnsi="宋体"/>
          <w:sz w:val="24"/>
          <w:highlight w:val="none"/>
        </w:rPr>
        <w:t xml:space="preserve">分包主要内容：</w:t>
      </w:r>
      <w:r/>
    </w:p>
    <w:p>
      <w:pPr>
        <w:ind w:firstLine="960"/>
        <w:spacing w:line="360" w:lineRule="auto"/>
        <w:rPr>
          <w:rFonts w:ascii="宋体" w:hAnsi="宋体"/>
          <w:sz w:val="24"/>
          <w:highlight w:val="none"/>
        </w:rPr>
      </w:pPr>
      <w:r>
        <w:rPr>
          <w:rFonts w:hint="eastAsia" w:ascii="宋体" w:hAnsi="宋体"/>
          <w:sz w:val="24"/>
          <w:highlight w:val="none"/>
        </w:rPr>
        <w:t xml:space="preserve">分包供应商/制造商名称（如供应商和制造商不同，请分别填写）：</w:t>
      </w:r>
      <w:r/>
    </w:p>
    <w:p>
      <w:pPr>
        <w:ind w:firstLine="960"/>
        <w:spacing w:line="360" w:lineRule="auto"/>
        <w:rPr>
          <w:rFonts w:ascii="宋体" w:hAnsi="宋体"/>
          <w:sz w:val="24"/>
          <w:highlight w:val="none"/>
        </w:rPr>
      </w:pPr>
      <w:r>
        <w:rPr>
          <w:rFonts w:hint="eastAsia" w:ascii="宋体" w:hAnsi="宋体"/>
          <w:sz w:val="24"/>
          <w:highlight w:val="none"/>
        </w:rPr>
        <w:t xml:space="preserve">分包供应商/制造商类型（如果供应商和制造商不同，只填写制造商类型）：</w:t>
      </w:r>
      <w:r/>
    </w:p>
    <w:p>
      <w:pPr>
        <w:ind w:firstLine="960"/>
        <w:spacing w:line="360" w:lineRule="auto"/>
        <w:rPr>
          <w:rFonts w:ascii="宋体" w:hAnsi="宋体"/>
          <w:iCs/>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大型企业  </w:t>
      </w:r>
      <w:r>
        <w:rPr>
          <w:rFonts w:ascii="Wingdings" w:hAnsi="Wingdings" w:eastAsia="Wingdings" w:cs="Wingdings"/>
          <w:iCs/>
          <w:sz w:val="24"/>
          <w:highlight w:val="none"/>
        </w:rPr>
        <w:t xml:space="preserve"></w:t>
      </w:r>
      <w:r>
        <w:rPr>
          <w:rFonts w:hint="eastAsia" w:ascii="宋体" w:hAnsi="宋体"/>
          <w:iCs/>
          <w:sz w:val="24"/>
          <w:highlight w:val="none"/>
        </w:rPr>
        <w:t xml:space="preserve">中型企业  </w:t>
      </w:r>
      <w:r>
        <w:rPr>
          <w:rFonts w:ascii="Wingdings" w:hAnsi="Wingdings" w:eastAsia="Wingdings" w:cs="Wingdings"/>
          <w:iCs/>
          <w:sz w:val="24"/>
          <w:highlight w:val="none"/>
        </w:rPr>
        <w:t xml:space="preserve"></w:t>
      </w:r>
      <w:r>
        <w:rPr>
          <w:rFonts w:hint="eastAsia" w:ascii="宋体" w:hAnsi="宋体"/>
          <w:iCs/>
          <w:sz w:val="24"/>
          <w:highlight w:val="none"/>
        </w:rPr>
        <w:t xml:space="preserve">小微型企业</w:t>
      </w:r>
      <w:r/>
    </w:p>
    <w:p>
      <w:pPr>
        <w:ind w:firstLine="960"/>
        <w:spacing w:line="360" w:lineRule="auto"/>
        <w:rPr>
          <w:rFonts w:eastAsia="华文楷体"/>
          <w:sz w:val="24"/>
          <w:highlight w:val="none"/>
        </w:rPr>
      </w:pPr>
      <w:r>
        <w:rPr>
          <w:rFonts w:ascii="Wingdings" w:hAnsi="Wingdings" w:eastAsia="Wingdings" w:cs="Wingdings"/>
          <w:iCs/>
          <w:sz w:val="24"/>
          <w:highlight w:val="none"/>
        </w:rPr>
        <w:t xml:space="preserve"></w:t>
      </w:r>
      <w:r>
        <w:rPr>
          <w:rFonts w:hint="eastAsia" w:ascii="宋体" w:hAnsi="宋体"/>
          <w:iCs/>
          <w:sz w:val="24"/>
          <w:highlight w:val="none"/>
        </w:rPr>
        <w:t xml:space="preserve">残疾人福利性单位</w:t>
      </w:r>
      <w:r>
        <w:rPr>
          <w:rFonts w:ascii="Wingdings" w:hAnsi="Wingdings" w:eastAsia="Wingdings" w:cs="Wingdings"/>
          <w:iCs/>
          <w:sz w:val="24"/>
          <w:highlight w:val="none"/>
        </w:rPr>
        <w:t xml:space="preserve"></w:t>
      </w:r>
      <w:r>
        <w:rPr>
          <w:rFonts w:hint="eastAsia" w:ascii="宋体" w:hAnsi="宋体"/>
          <w:iCs/>
          <w:sz w:val="24"/>
          <w:highlight w:val="none"/>
        </w:rPr>
        <w:t xml:space="preserve">监狱企业</w:t>
      </w:r>
      <w:r>
        <w:rPr>
          <w:rFonts w:ascii="Wingdings" w:hAnsi="Wingdings" w:eastAsia="Wingdings" w:cs="Wingdings"/>
          <w:iCs/>
          <w:sz w:val="24"/>
          <w:highlight w:val="none"/>
        </w:rPr>
        <w:t xml:space="preserve"></w:t>
      </w:r>
      <w:r>
        <w:rPr>
          <w:rFonts w:hint="eastAsia" w:ascii="宋体" w:hAnsi="宋体"/>
          <w:iCs/>
          <w:sz w:val="24"/>
          <w:highlight w:val="none"/>
        </w:rPr>
        <w:t xml:space="preserve">其他</w:t>
      </w:r>
      <w:r/>
    </w:p>
    <w:p>
      <w:pPr>
        <w:numPr>
          <w:ilvl w:val="255"/>
          <w:numId w:val="0"/>
        </w:numPr>
        <w:ind w:firstLine="480"/>
        <w:spacing w:line="360" w:lineRule="auto"/>
        <w:rPr>
          <w:rFonts w:ascii="宋体" w:hAnsi="宋体" w:cs="宋体"/>
          <w:iCs/>
          <w:sz w:val="24"/>
          <w:highlight w:val="none"/>
        </w:rPr>
      </w:pPr>
      <w:r>
        <w:rPr>
          <w:rFonts w:hint="eastAsia" w:ascii="宋体" w:hAnsi="宋体" w:cs="宋体"/>
          <w:sz w:val="24"/>
          <w:highlight w:val="none"/>
        </w:rPr>
        <w:t xml:space="preserve">（</w:t>
      </w:r>
      <w:r>
        <w:rPr>
          <w:rFonts w:ascii="宋体" w:hAnsi="宋体" w:cs="宋体"/>
          <w:sz w:val="24"/>
          <w:highlight w:val="none"/>
        </w:rPr>
        <w:t xml:space="preserve">8</w:t>
      </w:r>
      <w:r>
        <w:rPr>
          <w:rFonts w:hint="eastAsia" w:ascii="宋体" w:hAnsi="宋体" w:cs="宋体"/>
          <w:sz w:val="24"/>
          <w:highlight w:val="none"/>
        </w:rPr>
        <w:t xml:space="preserve">）中标（成交）供应商是否为外商投资企业：</w:t>
      </w:r>
      <w:r>
        <w:rPr>
          <w:rFonts w:ascii="Wingdings" w:hAnsi="Wingdings" w:eastAsia="Wingdings" w:cs="Wingdings"/>
          <w:iCs/>
          <w:sz w:val="24"/>
          <w:highlight w:val="none"/>
        </w:rPr>
        <w:t xml:space="preserve"></w:t>
      </w:r>
      <w:r>
        <w:rPr>
          <w:rFonts w:hint="eastAsia" w:ascii="宋体" w:hAnsi="宋体" w:cs="宋体"/>
          <w:iCs/>
          <w:sz w:val="24"/>
          <w:highlight w:val="none"/>
        </w:rPr>
        <w:t xml:space="preserve">是       </w:t>
      </w:r>
      <w:r>
        <w:rPr>
          <w:rFonts w:ascii="Wingdings" w:hAnsi="Wingdings" w:eastAsia="Wingdings" w:cs="Wingdings"/>
          <w:iCs/>
          <w:sz w:val="24"/>
          <w:highlight w:val="none"/>
        </w:rPr>
        <w:t xml:space="preserve"></w:t>
      </w:r>
      <w:r>
        <w:rPr>
          <w:rFonts w:hint="eastAsia" w:ascii="宋体" w:hAnsi="宋体" w:cs="宋体"/>
          <w:iCs/>
          <w:sz w:val="24"/>
          <w:highlight w:val="none"/>
        </w:rPr>
        <w:t xml:space="preserve">否</w:t>
      </w:r>
      <w:r/>
    </w:p>
    <w:p>
      <w:pPr>
        <w:ind w:firstLine="480"/>
        <w:jc w:val="left"/>
        <w:spacing w:line="360" w:lineRule="auto"/>
        <w:widowControl/>
        <w:tabs>
          <w:tab w:val="left" w:pos="1340" w:leader="none"/>
        </w:tabs>
        <w:rPr>
          <w:rFonts w:ascii="宋体" w:hAnsi="宋体" w:cs="宋体"/>
          <w:sz w:val="24"/>
          <w:highlight w:val="none"/>
          <w:u w:val="single"/>
        </w:rPr>
      </w:pPr>
      <w:r>
        <w:rPr>
          <w:rFonts w:hint="eastAsia" w:ascii="宋体" w:hAnsi="宋体" w:cs="宋体"/>
          <w:sz w:val="24"/>
          <w:highlight w:val="none"/>
        </w:rPr>
        <w:t xml:space="preserve">     外商投资企业类型：</w:t>
      </w:r>
      <w:r>
        <w:rPr>
          <w:rFonts w:ascii="Wingdings" w:hAnsi="Wingdings" w:eastAsia="Wingdings" w:cs="Wingdings"/>
          <w:iCs/>
          <w:sz w:val="24"/>
          <w:highlight w:val="none"/>
        </w:rPr>
        <w:t xml:space="preserve"></w:t>
      </w:r>
      <w:r>
        <w:rPr>
          <w:rFonts w:hint="eastAsia" w:ascii="宋体" w:hAnsi="宋体" w:cs="宋体"/>
          <w:sz w:val="24"/>
          <w:highlight w:val="none"/>
        </w:rPr>
        <w:t xml:space="preserve">全部由外国投资者投资  </w:t>
      </w:r>
      <w:r>
        <w:rPr>
          <w:rFonts w:ascii="Wingdings" w:hAnsi="Wingdings" w:eastAsia="Wingdings" w:cs="Wingdings"/>
          <w:iCs/>
          <w:sz w:val="24"/>
          <w:highlight w:val="none"/>
        </w:rPr>
        <w:t xml:space="preserve"></w:t>
      </w:r>
      <w:r>
        <w:rPr>
          <w:rFonts w:hint="eastAsia" w:ascii="宋体" w:hAnsi="宋体" w:cs="宋体"/>
          <w:iCs/>
          <w:sz w:val="24"/>
          <w:highlight w:val="none"/>
        </w:rPr>
        <w:t xml:space="preserve">部分由外国投资者投资</w:t>
      </w:r>
      <w:r/>
    </w:p>
    <w:p>
      <w:pPr>
        <w:numPr>
          <w:ilvl w:val="255"/>
          <w:numId w:val="0"/>
        </w:numPr>
        <w:ind w:firstLine="480"/>
        <w:spacing w:line="360" w:lineRule="auto"/>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9</w:t>
      </w:r>
      <w:r>
        <w:rPr>
          <w:rFonts w:hint="eastAsia" w:ascii="宋体" w:hAnsi="宋体" w:cs="宋体"/>
          <w:sz w:val="24"/>
          <w:highlight w:val="none"/>
        </w:rPr>
        <w:t xml:space="preserve">）是否涉及进口产品：</w:t>
      </w:r>
      <w:r/>
    </w:p>
    <w:p>
      <w:pPr>
        <w:numPr>
          <w:ilvl w:val="255"/>
          <w:numId w:val="0"/>
        </w:numPr>
        <w:ind w:firstLine="960"/>
        <w:spacing w:line="360" w:lineRule="auto"/>
        <w:rPr>
          <w:rFonts w:ascii="宋体" w:hAnsi="宋体" w:cs="宋体"/>
          <w:sz w:val="24"/>
          <w:highlight w:val="none"/>
          <w:u w:val="single"/>
        </w:rPr>
      </w:pPr>
      <w:r>
        <w:rPr>
          <w:rFonts w:ascii="Wingdings" w:hAnsi="Wingdings" w:eastAsia="Wingdings" w:cs="Wingdings"/>
          <w:sz w:val="24"/>
          <w:highlight w:val="none"/>
        </w:rPr>
        <w:t xml:space="preserve"></w:t>
      </w:r>
      <w:r>
        <w:rPr>
          <w:rFonts w:hint="eastAsia" w:ascii="宋体" w:hAnsi="宋体" w:cs="宋体"/>
          <w:sz w:val="24"/>
          <w:highlight w:val="none"/>
        </w:rPr>
        <w:t xml:space="preserve">是，《政府采购品目分类目录》底级品目名称：金额：</w:t>
      </w:r>
      <w:r/>
    </w:p>
    <w:p>
      <w:pPr>
        <w:numPr>
          <w:ilvl w:val="255"/>
          <w:numId w:val="0"/>
        </w:numPr>
        <w:ind w:firstLine="960"/>
        <w:spacing w:line="360" w:lineRule="auto"/>
        <w:rPr>
          <w:rFonts w:ascii="宋体" w:hAnsi="宋体"/>
          <w:sz w:val="24"/>
          <w:highlight w:val="none"/>
        </w:rPr>
      </w:pPr>
      <w:r>
        <w:rPr>
          <w:rFonts w:hint="eastAsia" w:ascii="宋体" w:hAnsi="宋体" w:cs="宋体"/>
          <w:sz w:val="24"/>
          <w:highlight w:val="none"/>
        </w:rPr>
        <w:t xml:space="preserve">        国别：品牌： 规格型号：</w:t>
      </w:r>
      <w:r/>
    </w:p>
    <w:p>
      <w:p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tabs>
          <w:tab w:val="left" w:pos="740" w:leader="none"/>
        </w:tabs>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0</w:t>
      </w:r>
      <w:r>
        <w:rPr>
          <w:rFonts w:hint="eastAsia" w:ascii="宋体" w:hAnsi="宋体"/>
          <w:sz w:val="24"/>
          <w:highlight w:val="none"/>
        </w:rPr>
        <w:t xml:space="preserve">）是否涉及节能产品：</w:t>
      </w:r>
      <w:r/>
    </w:p>
    <w:p>
      <w:pPr>
        <w:numPr>
          <w:ilvl w:val="255"/>
          <w:numId w:val="0"/>
        </w:numPr>
        <w:ind w:firstLine="960"/>
        <w:spacing w:line="360" w:lineRule="auto"/>
        <w:tabs>
          <w:tab w:val="left" w:pos="740" w:leader="none"/>
        </w:tabs>
        <w:rPr>
          <w:rFonts w:ascii="宋体" w:hAnsi="宋体"/>
          <w:iCs/>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是，《节能产品政府采购品目清单》的底级品目名称：</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960"/>
        <w:spacing w:line="360" w:lineRule="auto"/>
        <w:tabs>
          <w:tab w:val="left" w:pos="740" w:leader="none"/>
        </w:tabs>
        <w:rPr>
          <w:rFonts w:ascii="宋体" w:hAnsi="宋体"/>
          <w:sz w:val="24"/>
          <w:highlight w:val="none"/>
        </w:rPr>
      </w:pPr>
      <w:r>
        <w:rPr>
          <w:rFonts w:hint="eastAsia" w:ascii="宋体" w:hAnsi="宋体"/>
          <w:sz w:val="24"/>
          <w:highlight w:val="none"/>
        </w:rPr>
        <w:t xml:space="preserve">是否涉及环境标志产品：</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是，《环境标志产品政府采购品目清单》的底级品目名称：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numPr>
          <w:ilvl w:val="255"/>
          <w:numId w:val="0"/>
        </w:numPr>
        <w:ind w:firstLine="96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ind w:firstLine="840"/>
        <w:jc w:val="left"/>
        <w:spacing w:line="360" w:lineRule="auto"/>
        <w:widowControl/>
        <w:rPr>
          <w:rFonts w:ascii="宋体" w:hAnsi="宋体"/>
          <w:sz w:val="24"/>
          <w:highlight w:val="none"/>
        </w:rPr>
      </w:pPr>
      <w:r>
        <w:rPr>
          <w:rFonts w:hint="eastAsia" w:ascii="宋体" w:hAnsi="宋体"/>
          <w:sz w:val="24"/>
          <w:highlight w:val="none"/>
        </w:rPr>
        <w:t xml:space="preserve">是否涉及绿色产品：</w:t>
      </w:r>
      <w:r/>
    </w:p>
    <w:p>
      <w:pPr>
        <w:ind w:firstLine="900"/>
        <w:jc w:val="left"/>
        <w:spacing w:line="360" w:lineRule="auto"/>
        <w:widowControl/>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是，绿色产品政府采购相关政策确定的底级品目名称：</w:t>
      </w:r>
      <w:r/>
    </w:p>
    <w:p>
      <w:pPr>
        <w:numPr>
          <w:ilvl w:val="255"/>
          <w:numId w:val="0"/>
        </w:numPr>
        <w:ind w:firstLine="840"/>
        <w:spacing w:line="360" w:lineRule="auto"/>
        <w:tabs>
          <w:tab w:val="left" w:pos="740" w:leader="none"/>
        </w:tabs>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强制采购</w:t>
      </w:r>
      <w:r>
        <w:rPr>
          <w:rFonts w:ascii="Wingdings" w:hAnsi="Wingdings" w:eastAsia="Wingdings" w:cs="Wingdings"/>
          <w:sz w:val="24"/>
          <w:highlight w:val="none"/>
        </w:rPr>
        <w:t xml:space="preserve"></w:t>
      </w:r>
      <w:r>
        <w:rPr>
          <w:rFonts w:hint="eastAsia" w:ascii="宋体" w:hAnsi="宋体"/>
          <w:sz w:val="24"/>
          <w:highlight w:val="none"/>
        </w:rPr>
        <w:t xml:space="preserve">优先采购</w:t>
      </w:r>
      <w:r/>
    </w:p>
    <w:p>
      <w:pPr>
        <w:ind w:firstLine="900"/>
        <w:jc w:val="left"/>
        <w:spacing w:line="360" w:lineRule="auto"/>
        <w:widowControl/>
        <w:rPr>
          <w:rFonts w:ascii="宋体" w:hAnsi="宋体" w:eastAsia="华文楷体" w:cs="华文楷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否</w:t>
      </w:r>
      <w:r/>
    </w:p>
    <w:p>
      <w:pPr>
        <w:numPr>
          <w:ilvl w:val="255"/>
          <w:numId w:val="0"/>
        </w:numPr>
        <w:spacing w:line="360" w:lineRule="auto"/>
        <w:rPr>
          <w:rFonts w:ascii="宋体" w:hAnsi="宋体"/>
          <w:sz w:val="24"/>
          <w:highlight w:val="none"/>
        </w:rPr>
      </w:pPr>
      <w:r>
        <w:rPr>
          <w:rFonts w:hint="eastAsia" w:ascii="宋体" w:hAnsi="宋体"/>
          <w:sz w:val="24"/>
          <w:highlight w:val="none"/>
        </w:rPr>
        <w:t xml:space="preserve">    （1</w:t>
      </w:r>
      <w:r>
        <w:rPr>
          <w:rFonts w:ascii="宋体" w:hAnsi="宋体"/>
          <w:sz w:val="24"/>
          <w:highlight w:val="none"/>
        </w:rPr>
        <w:t xml:space="preserve">1</w:t>
      </w:r>
      <w:r>
        <w:rPr>
          <w:rFonts w:hint="eastAsia" w:ascii="宋体" w:hAnsi="宋体"/>
          <w:sz w:val="24"/>
          <w:highlight w:val="none"/>
        </w:rPr>
        <w:t xml:space="preserve">）涉及商品包装和快递包装的，是否参考《商品包装政府采购需求标准（试行）</w:t>
      </w:r>
      <w:r>
        <w:rPr>
          <w:rFonts w:hint="eastAsia" w:ascii="宋体" w:hAnsi="宋体"/>
          <w:sz w:val="24"/>
          <w:highlight w:val="none"/>
          <w:lang w:eastAsia="zh-CN"/>
        </w:rPr>
        <w:t xml:space="preserve">》《</w:t>
      </w:r>
      <w:r>
        <w:rPr>
          <w:rFonts w:hint="eastAsia" w:ascii="宋体" w:hAnsi="宋体"/>
          <w:sz w:val="24"/>
          <w:highlight w:val="none"/>
        </w:rPr>
        <w:t xml:space="preserve">快递包装政府采购需求标准（试行）》明确产品及相关快递服务的具体包装要求：</w:t>
      </w:r>
      <w:r/>
    </w:p>
    <w:p>
      <w:pPr>
        <w:numPr>
          <w:ilvl w:val="255"/>
          <w:numId w:val="0"/>
        </w:numPr>
        <w:ind w:firstLine="960"/>
        <w:spacing w:line="360" w:lineRule="auto"/>
        <w:rPr>
          <w:rFonts w:ascii="宋体" w:hAnsi="宋体"/>
          <w:sz w:val="24"/>
          <w:highlight w:val="none"/>
        </w:rPr>
      </w:pPr>
      <w:r>
        <w:rPr>
          <w:rFonts w:ascii="Wingdings" w:hAnsi="Wingdings" w:eastAsia="Wingdings" w:cs="Wingdings"/>
          <w:sz w:val="24"/>
          <w:highlight w:val="none"/>
        </w:rPr>
        <w:t xml:space="preserve"></w:t>
      </w:r>
      <w:r>
        <w:rPr>
          <w:rFonts w:hint="eastAsia" w:ascii="宋体" w:hAnsi="宋体"/>
          <w:sz w:val="24"/>
          <w:highlight w:val="none"/>
        </w:rPr>
        <w:t xml:space="preserve">是       </w:t>
      </w:r>
      <w:r>
        <w:rPr>
          <w:rFonts w:ascii="Wingdings" w:hAnsi="Wingdings" w:eastAsia="Wingdings" w:cs="Wingdings"/>
          <w:sz w:val="24"/>
          <w:highlight w:val="none"/>
        </w:rPr>
        <w:t xml:space="preserve"></w:t>
      </w:r>
      <w:r>
        <w:rPr>
          <w:rFonts w:hint="eastAsia" w:ascii="宋体" w:hAnsi="宋体"/>
          <w:sz w:val="24"/>
          <w:highlight w:val="none"/>
        </w:rPr>
        <w:t xml:space="preserve">否</w:t>
      </w:r>
      <w:r>
        <w:rPr>
          <w:rFonts w:ascii="Wingdings" w:hAnsi="Wingdings" w:eastAsia="Wingdings" w:cs="Wingdings"/>
          <w:sz w:val="24"/>
          <w:highlight w:val="none"/>
        </w:rPr>
        <w:t xml:space="preserve"></w:t>
      </w:r>
      <w:r>
        <w:rPr>
          <w:rFonts w:hint="eastAsia" w:ascii="宋体" w:hAnsi="宋体"/>
          <w:sz w:val="24"/>
          <w:highlight w:val="none"/>
        </w:rPr>
        <w:t xml:space="preserve">不涉及</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合同金额</w:t>
      </w:r>
      <w:r/>
    </w:p>
    <w:p>
      <w:pPr>
        <w:ind w:firstLine="480"/>
        <w:spacing w:line="360" w:lineRule="auto"/>
        <w:rPr>
          <w:rFonts w:ascii="宋体" w:hAnsi="宋体"/>
          <w:sz w:val="24"/>
          <w:highlight w:val="none"/>
        </w:rPr>
      </w:pPr>
      <w:r>
        <w:rPr>
          <w:rFonts w:hint="eastAsia" w:ascii="宋体" w:hAnsi="宋体"/>
          <w:sz w:val="24"/>
          <w:highlight w:val="none"/>
        </w:rPr>
        <w:t xml:space="preserve">（1）合同金额小写：</w:t>
      </w:r>
      <w:r/>
    </w:p>
    <w:p>
      <w:pPr>
        <w:ind w:firstLine="600"/>
        <w:spacing w:line="360" w:lineRule="auto"/>
        <w:rPr>
          <w:rFonts w:ascii="宋体" w:hAnsi="宋体"/>
          <w:sz w:val="24"/>
          <w:highlight w:val="none"/>
          <w:u w:val="single"/>
        </w:rPr>
      </w:pPr>
      <w:r>
        <w:rPr>
          <w:rFonts w:hint="eastAsia" w:ascii="宋体" w:hAnsi="宋体"/>
          <w:sz w:val="24"/>
          <w:highlight w:val="none"/>
        </w:rPr>
        <w:t xml:space="preserve">大写：</w:t>
      </w:r>
      <w:r/>
    </w:p>
    <w:p>
      <w:pPr>
        <w:ind w:firstLine="480"/>
        <w:spacing w:line="360" w:lineRule="auto"/>
        <w:rPr>
          <w:rFonts w:ascii="宋体" w:hAnsi="宋体"/>
          <w:sz w:val="24"/>
          <w:highlight w:val="none"/>
        </w:rPr>
      </w:pPr>
      <w:r>
        <w:rPr>
          <w:rFonts w:hint="eastAsia" w:ascii="宋体" w:hAnsi="宋体"/>
          <w:sz w:val="24"/>
          <w:highlight w:val="none"/>
        </w:rPr>
        <w:t xml:space="preserve">分包金额（如有）小写：</w:t>
      </w:r>
      <w:r/>
    </w:p>
    <w:p>
      <w:pPr>
        <w:ind w:firstLine="480"/>
        <w:spacing w:line="360" w:lineRule="auto"/>
        <w:rPr>
          <w:rFonts w:ascii="宋体" w:hAnsi="宋体"/>
          <w:sz w:val="24"/>
          <w:highlight w:val="none"/>
          <w:u w:val="single"/>
        </w:rPr>
      </w:pPr>
      <w:r>
        <w:rPr>
          <w:rFonts w:hint="eastAsia" w:ascii="宋体" w:hAnsi="宋体"/>
          <w:sz w:val="24"/>
          <w:highlight w:val="none"/>
        </w:rPr>
        <w:t xml:space="preserve">大写：</w:t>
      </w:r>
      <w:r/>
    </w:p>
    <w:p>
      <w:pPr>
        <w:jc w:val="center"/>
        <w:rPr>
          <w:rFonts w:ascii="宋体" w:hAnsi="宋体"/>
          <w:sz w:val="24"/>
          <w:highlight w:val="none"/>
        </w:rPr>
      </w:pPr>
      <w:r>
        <w:rPr>
          <w:rFonts w:hint="eastAsia" w:ascii="宋体" w:hAnsi="宋体"/>
          <w:sz w:val="24"/>
          <w:highlight w:val="none"/>
        </w:rPr>
        <w:t xml:space="preserve"> （2）付款方式（按项目实际勾选填写，具体详见专用条款第二节</w:t>
      </w:r>
      <w:r/>
    </w:p>
    <w:p>
      <w:pPr>
        <w:spacing w:line="360" w:lineRule="auto"/>
        <w:rPr>
          <w:rFonts w:ascii="宋体" w:hAnsi="宋体"/>
          <w:sz w:val="24"/>
          <w:highlight w:val="none"/>
        </w:rPr>
      </w:pPr>
      <w:r>
        <w:rPr>
          <w:rFonts w:hint="eastAsia" w:ascii="宋体" w:hAnsi="宋体"/>
          <w:sz w:val="24"/>
          <w:highlight w:val="none"/>
        </w:rPr>
        <w:t xml:space="preserve">第12.2款）：</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rFonts w:hint="eastAsia"/>
          <w:color w:val="auto"/>
          <w:highlight w:val="none"/>
        </w:rPr>
      </w:pPr>
      <w:r>
        <w:rPr>
          <w:rFonts w:ascii="Wingdings" w:hAnsi="Wingdings" w:eastAsia="Wingdings" w:cs="Wingdings"/>
          <w:color w:val="auto"/>
          <w:szCs w:val="21"/>
          <w:highlight w:val="none"/>
        </w:rPr>
        <w:t xml:space="preserve">þ</w:t>
      </w:r>
      <w:r>
        <w:rPr>
          <w:rFonts w:hint="eastAsia" w:ascii="宋体" w:hAnsi="宋体"/>
          <w:color w:val="auto"/>
          <w:szCs w:val="21"/>
          <w:highlight w:val="none"/>
        </w:rPr>
        <w:t xml:space="preserve">分期付款：</w:t>
      </w:r>
      <w:r>
        <w:rPr>
          <w:rFonts w:hint="eastAsia" w:ascii="宋体" w:hAnsi="宋体"/>
          <w:color w:val="auto"/>
          <w:szCs w:val="21"/>
          <w:highlight w:val="none"/>
          <w:u w:val="single"/>
        </w:rPr>
        <w:t xml:space="preserve">  （应明确分期支付合同款项的各期比例和支付条件，各期支付条件应与分期履约验收情况挂钩） </w:t>
      </w:r>
      <w:r>
        <w:rPr>
          <w:rFonts w:hint="eastAsia" w:ascii="宋体" w:hAnsi="宋体"/>
          <w:color w:val="auto"/>
          <w:szCs w:val="21"/>
          <w:highlight w:val="none"/>
        </w:rPr>
        <w:t xml:space="preserve">，其中涉及预付款的：</w:t>
      </w:r>
      <w:r>
        <w:rPr>
          <w:rFonts w:hint="eastAsia" w:ascii="宋体" w:hAnsi="宋体"/>
          <w:color w:val="auto"/>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hint="eastAsia" w:ascii="宋体" w:hAnsi="宋体"/>
          <w:szCs w:val="21"/>
          <w:highlight w:val="none"/>
        </w:rP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根据《关于进一步优化政府采购营商环境的通知》（盐财购〔2023〕17号），严格落实货物和服务采购项目预付款制度，预付款比例原则上不低于合同金额的30%。在签订合同时，供应商明确表示无需预付款或者主动要求降低预付款比例的，采购人可不适用前述规定。确定后该备注删除。）</w:t>
      </w:r>
      <w:r/>
    </w:p>
    <w:p>
      <w:pPr>
        <w:numPr>
          <w:ilvl w:val="0"/>
          <w:numId w:val="1"/>
        </w:numPr>
        <w:ind w:firstLine="482"/>
        <w:spacing w:line="360" w:lineRule="auto"/>
        <w:rPr>
          <w:rFonts w:ascii="宋体" w:hAnsi="宋体"/>
          <w:b/>
          <w:sz w:val="24"/>
          <w:highlight w:val="none"/>
          <w:u w:val="single"/>
        </w:rPr>
      </w:pPr>
      <w:r>
        <w:rPr>
          <w:rFonts w:hint="eastAsia" w:ascii="宋体" w:hAnsi="宋体"/>
          <w:b/>
          <w:sz w:val="24"/>
          <w:highlight w:val="none"/>
        </w:rPr>
        <w:t xml:space="preserve">合同履行</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（1）起始日期：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日，完成日期：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ind w:firstLine="480"/>
        <w:spacing w:line="360" w:lineRule="auto"/>
        <w:rPr>
          <w:rFonts w:ascii="宋体" w:hAnsi="宋体" w:cs="宋体"/>
          <w:sz w:val="24"/>
          <w:highlight w:val="none"/>
          <w:u w:val="single"/>
        </w:rPr>
      </w:pPr>
      <w:r>
        <w:rPr>
          <w:rFonts w:hint="eastAsia" w:ascii="宋体" w:hAnsi="宋体" w:cs="宋体"/>
          <w:sz w:val="24"/>
          <w:highlight w:val="none"/>
        </w:rPr>
        <w:t xml:space="preserve">（2）履约地点</w:t>
      </w:r>
      <w:r>
        <w:rPr>
          <w:rFonts w:hint="eastAsia" w:ascii="宋体" w:hAnsi="宋体" w:cs="宋体"/>
          <w:bCs/>
          <w:sz w:val="24"/>
          <w:highlight w:val="none"/>
        </w:rPr>
        <w:t xml:space="preserve">：</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bCs/>
          <w:sz w:val="24"/>
          <w:highlight w:val="none"/>
        </w:rPr>
        <w:t xml:space="preserve">（3）</w:t>
      </w:r>
      <w:r>
        <w:rPr>
          <w:rFonts w:hint="eastAsia" w:ascii="宋体" w:hAnsi="宋体" w:cs="宋体"/>
          <w:sz w:val="24"/>
          <w:highlight w:val="none"/>
        </w:rPr>
        <w:t xml:space="preserve">履约担保：履约担保：是否收取履约保证金：</w:t>
      </w:r>
      <w:r>
        <w:rPr>
          <w:rFonts w:ascii="Wingdings" w:hAnsi="Wingdings" w:eastAsia="Wingdings" w:cs="Wingdings"/>
          <w:sz w:val="24"/>
          <w:highlight w:val="none"/>
        </w:rPr>
        <w:t xml:space="preserve">þ</w:t>
      </w:r>
      <w:r>
        <w:rPr>
          <w:rFonts w:hint="eastAsia" w:ascii="宋体" w:hAnsi="宋体" w:cs="宋体"/>
          <w:sz w:val="24"/>
          <w:highlight w:val="none"/>
        </w:rPr>
        <w:t xml:space="preserve">是    </w:t>
      </w:r>
      <w:r>
        <w:rPr>
          <w:rFonts w:ascii="Wingdings" w:hAnsi="Wingdings" w:eastAsia="Wingdings" w:cs="Wingdings"/>
          <w:sz w:val="24"/>
          <w:highlight w:val="none"/>
        </w:rPr>
        <w:t xml:space="preserve">¨</w:t>
      </w:r>
      <w:r>
        <w:rPr>
          <w:rFonts w:hint="eastAsia" w:ascii="宋体" w:hAnsi="宋体" w:cs="宋体"/>
          <w:sz w:val="24"/>
          <w:highlight w:val="none"/>
        </w:rPr>
        <w:t xml:space="preserve">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收取履约保证金形式：</w:t>
      </w:r>
      <w:r>
        <w:rPr>
          <w:rFonts w:hint="eastAsia" w:ascii="宋体" w:hAnsi="宋体" w:cs="宋体"/>
          <w:bCs/>
          <w:sz w:val="24"/>
          <w:highlight w:val="none"/>
          <w:u w:val="single"/>
        </w:rPr>
        <w:t xml:space="preserve">支票、汇票、本票或者金融机构、担保机构出具的保函等非现金形式提交履约保证金</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     收取履约保证金金额：</w:t>
      </w:r>
      <w:r>
        <w:rPr>
          <w:rFonts w:hint="eastAsia" w:ascii="宋体" w:hAnsi="宋体" w:cs="宋体"/>
          <w:sz w:val="24"/>
          <w:highlight w:val="none"/>
          <w:u w:val="single"/>
          <w:lang w:val="en-US" w:eastAsia="zh-CN"/>
        </w:rPr>
        <w:t xml:space="preserve">中标价的8%</w:t>
      </w:r>
      <w:r>
        <w:rPr>
          <w:rFonts w:hint="eastAsia" w:ascii="宋体" w:hAnsi="宋体" w:cs="宋体"/>
          <w:bCs/>
          <w:sz w:val="24"/>
          <w:highlight w:val="none"/>
        </w:rPr>
        <w:t xml:space="preserve">  </w:t>
      </w:r>
      <w:r>
        <w:rPr>
          <w:rFonts w:hint="eastAsia" w:ascii="宋体" w:hAnsi="宋体" w:cs="宋体"/>
          <w:sz w:val="24"/>
          <w:highlight w:val="none"/>
        </w:rPr>
        <w:t xml:space="preserve">                            </w:t>
      </w:r>
      <w:r/>
    </w:p>
    <w:p>
      <w:pPr>
        <w:ind w:firstLine="480"/>
        <w:spacing w:line="360" w:lineRule="auto"/>
        <w:rPr>
          <w:rFonts w:hint="default" w:ascii="宋体" w:hAnsi="宋体" w:cs="宋体" w:eastAsiaTheme="minorEastAsia"/>
          <w:bCs/>
          <w:sz w:val="24"/>
          <w:highlight w:val="none"/>
          <w:u w:val="single"/>
          <w:lang w:val="en-US" w:eastAsia="zh-CN"/>
        </w:rPr>
      </w:pPr>
      <w:r>
        <w:rPr>
          <w:rFonts w:hint="eastAsia" w:ascii="宋体" w:hAnsi="宋体" w:cs="宋体"/>
          <w:sz w:val="24"/>
          <w:highlight w:val="none"/>
        </w:rPr>
        <w:t xml:space="preserve">     履约担保期限： </w:t>
      </w:r>
      <w:r>
        <w:rPr>
          <w:rFonts w:hint="eastAsia" w:ascii="宋体" w:hAnsi="宋体" w:cs="宋体"/>
          <w:bCs/>
          <w:sz w:val="24"/>
          <w:highlight w:val="none"/>
          <w:u w:val="single"/>
          <w:lang w:val="en-US" w:eastAsia="zh-CN"/>
        </w:rPr>
        <w:t xml:space="preserve">自合同生效之日起，至所有货物验收合格后30日止</w:t>
      </w:r>
      <w:r/>
    </w:p>
    <w:p>
      <w:pPr>
        <w:numPr>
          <w:ilvl w:val="0"/>
          <w:numId w:val="3"/>
        </w:num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确需收取履约保证金的，履约保证金的缴纳形式：</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如以履约保函（保险）形式缴纳履约保证金，供应商可通过政府采购电子履约保函（保险）平台（www.jsdzbh.com）在线申请履约保函（保险）。</w:t>
      </w:r>
      <w:r/>
    </w:p>
    <w:p>
      <w:pPr>
        <w:pStyle w:val="690"/>
        <w:ind w:left="210" w:firstLine="240"/>
        <w:jc w:val="both"/>
        <w:spacing w:before="120" w:beforeAutospacing="0" w:after="120" w:afterAutospacing="0"/>
        <w:rPr>
          <w:rFonts w:ascii="宋体" w:hAnsi="宋体" w:cs="宋体"/>
          <w:highlight w:val="none"/>
        </w:rPr>
      </w:pPr>
      <w:r>
        <w:rPr>
          <w:rFonts w:hint="eastAsia" w:ascii="宋体" w:hAnsi="宋体" w:cs="宋体"/>
          <w:color w:val="auto"/>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cs="宋体"/>
          <w:bCs/>
          <w:color w:val="auto"/>
          <w:highlight w:val="none"/>
        </w:rPr>
        <w:t xml:space="preserve">   </w:t>
      </w:r>
      <w:r>
        <w:rPr>
          <w:rFonts w:hint="eastAsia" w:ascii="宋体" w:hAnsi="宋体" w:cs="宋体"/>
          <w:color w:val="auto"/>
          <w:highlight w:val="none"/>
        </w:rPr>
        <w:t xml:space="preserve">        </w:t>
      </w:r>
      <w:r>
        <w:rPr>
          <w:rFonts w:hint="eastAsia" w:ascii="宋体" w:hAnsi="宋体" w:cs="宋体"/>
          <w:highlight w:val="none"/>
        </w:rPr>
        <w:t xml:space="preserve">                         </w:t>
      </w:r>
      <w:r/>
    </w:p>
    <w:p>
      <w:pPr>
        <w:ind w:firstLine="480"/>
        <w:spacing w:line="360" w:lineRule="auto"/>
        <w:rPr>
          <w:rFonts w:ascii="宋体" w:hAnsi="宋体" w:cs="宋体"/>
          <w:bCs/>
          <w:sz w:val="24"/>
          <w:highlight w:val="none"/>
        </w:rPr>
      </w:pPr>
      <w:r>
        <w:rPr>
          <w:rFonts w:hint="eastAsia" w:ascii="宋体" w:hAnsi="宋体" w:cs="宋体"/>
          <w:bCs/>
          <w:sz w:val="24"/>
          <w:highlight w:val="none"/>
        </w:rPr>
        <w:t xml:space="preserve">（5）分期履行要求：</w:t>
      </w:r>
      <w:r/>
    </w:p>
    <w:p>
      <w:pPr>
        <w:ind w:firstLine="480"/>
        <w:spacing w:line="360" w:lineRule="auto"/>
        <w:rPr>
          <w:rFonts w:ascii="宋体" w:hAnsi="宋体" w:cs="宋体"/>
          <w:sz w:val="24"/>
          <w:highlight w:val="none"/>
          <w:u w:val="single"/>
        </w:rPr>
      </w:pPr>
      <w:r>
        <w:rPr>
          <w:rFonts w:hint="eastAsia" w:ascii="宋体" w:hAnsi="宋体" w:cs="宋体"/>
          <w:bCs/>
          <w:sz w:val="24"/>
          <w:highlight w:val="none"/>
        </w:rPr>
        <w:t xml:space="preserve">（6）风险处置措施和替代方案：</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合同验收</w:t>
      </w:r>
      <w:r/>
    </w:p>
    <w:p>
      <w:pPr>
        <w:numPr>
          <w:ilvl w:val="0"/>
          <w:numId w:val="4"/>
        </w:numPr>
        <w:ind w:firstLine="480"/>
        <w:spacing w:line="360" w:lineRule="auto"/>
        <w:rPr>
          <w:rFonts w:ascii="宋体" w:hAnsi="宋体"/>
          <w:bCs/>
          <w:sz w:val="24"/>
          <w:highlight w:val="none"/>
        </w:rPr>
      </w:pPr>
      <w:r>
        <w:rPr>
          <w:rFonts w:hint="eastAsia" w:ascii="宋体" w:hAnsi="宋体"/>
          <w:bCs/>
          <w:sz w:val="24"/>
          <w:highlight w:val="none"/>
        </w:rPr>
        <w:t xml:space="preserve">验收组织方式：</w:t>
      </w:r>
      <w:r>
        <w:rPr>
          <w:rFonts w:ascii="Wingdings" w:hAnsi="Wingdings" w:eastAsia="Wingdings" w:cs="Wingdings"/>
          <w:sz w:val="24"/>
          <w:highlight w:val="none"/>
        </w:rPr>
        <w:t xml:space="preserve">¨</w:t>
      </w:r>
      <w:r>
        <w:rPr>
          <w:rFonts w:hint="eastAsia" w:ascii="宋体" w:hAnsi="宋体"/>
          <w:bCs/>
          <w:sz w:val="24"/>
          <w:highlight w:val="none"/>
        </w:rPr>
        <w:t xml:space="preserve">自行组织 </w:t>
      </w:r>
      <w:r>
        <w:rPr>
          <w:rFonts w:ascii="Wingdings" w:hAnsi="Wingdings" w:eastAsia="Wingdings" w:cs="Wingdings"/>
          <w:sz w:val="24"/>
          <w:highlight w:val="none"/>
        </w:rPr>
        <w:t xml:space="preserve"></w:t>
      </w:r>
      <w:r>
        <w:rPr>
          <w:rFonts w:hint="eastAsia" w:ascii="宋体" w:hAnsi="宋体"/>
          <w:bCs/>
          <w:sz w:val="24"/>
          <w:highlight w:val="none"/>
        </w:rPr>
        <w:t xml:space="preserve">委托第三方组织</w:t>
      </w:r>
      <w:r/>
    </w:p>
    <w:p>
      <w:pPr>
        <w:ind w:firstLine="960"/>
        <w:spacing w:line="360" w:lineRule="auto"/>
        <w:rPr>
          <w:rFonts w:ascii="宋体" w:hAnsi="宋体" w:cs="宋体"/>
          <w:sz w:val="24"/>
          <w:highlight w:val="none"/>
        </w:rPr>
      </w:pPr>
      <w:r>
        <w:rPr>
          <w:rFonts w:hint="eastAsia" w:ascii="宋体" w:hAnsi="宋体"/>
          <w:bCs/>
          <w:sz w:val="24"/>
          <w:highlight w:val="none"/>
        </w:rPr>
        <w:t xml:space="preserve">验收主体：</w:t>
      </w:r>
      <w:r>
        <w:rPr>
          <w:rFonts w:hint="eastAsia" w:ascii="宋体" w:hAnsi="宋体" w:cs="宋体"/>
          <w:sz w:val="24"/>
          <w:highlight w:val="none"/>
        </w:rPr>
        <w:t xml:space="preserve"> </w:t>
      </w:r>
      <w:r>
        <w:rPr>
          <w:rFonts w:hint="eastAsia" w:ascii="宋体" w:hAnsi="宋体" w:cs="宋体"/>
          <w:bCs/>
          <w:sz w:val="24"/>
          <w:highlight w:val="none"/>
          <w:u w:val="single"/>
        </w:rPr>
        <w:t xml:space="preserve">                         </w:t>
      </w:r>
      <w:r>
        <w:rPr>
          <w:rFonts w:hint="eastAsia" w:ascii="宋体" w:hAnsi="宋体" w:cs="宋体"/>
          <w:sz w:val="24"/>
          <w:highlight w:val="none"/>
        </w:rPr>
        <w:t xml:space="preserve"> </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是否邀请本项目的其他供应商参加验收：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是否邀请专家参加验收：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是否邀请服务对象参加验收：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是否邀请第三方检测机构参加验收：</w:t>
      </w:r>
      <w:r>
        <w:rPr>
          <w:rFonts w:ascii="Wingdings" w:hAnsi="Wingdings" w:eastAsia="Wingdings" w:cs="Wingdings"/>
          <w:sz w:val="24"/>
          <w:highlight w:val="none"/>
        </w:rPr>
        <w:t xml:space="preserve"></w:t>
      </w:r>
      <w:r>
        <w:rPr>
          <w:rFonts w:hint="eastAsia" w:ascii="宋体" w:hAnsi="宋体"/>
          <w:bCs/>
          <w:sz w:val="24"/>
          <w:highlight w:val="none"/>
        </w:rPr>
        <w:t xml:space="preserve">是  </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rPr>
      </w:pPr>
      <w:r>
        <w:rPr>
          <w:rFonts w:hint="eastAsia" w:ascii="宋体" w:hAnsi="宋体"/>
          <w:bCs/>
          <w:sz w:val="24"/>
          <w:highlight w:val="none"/>
        </w:rPr>
        <w:t xml:space="preserve">是否进行抽查检测：</w:t>
      </w:r>
      <w:r>
        <w:rPr>
          <w:rFonts w:ascii="Wingdings" w:hAnsi="Wingdings" w:eastAsia="Wingdings" w:cs="Wingdings"/>
          <w:sz w:val="24"/>
          <w:highlight w:val="none"/>
        </w:rPr>
        <w:t xml:space="preserve"></w:t>
      </w:r>
      <w:r>
        <w:rPr>
          <w:rFonts w:hint="eastAsia" w:ascii="宋体" w:hAnsi="宋体"/>
          <w:bCs/>
          <w:sz w:val="24"/>
          <w:highlight w:val="none"/>
        </w:rPr>
        <w:t xml:space="preserve">是，抽查比例：</w:t>
      </w: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是否存在破坏性检测：</w:t>
      </w:r>
      <w:r>
        <w:rPr>
          <w:rFonts w:ascii="Wingdings" w:hAnsi="Wingdings" w:eastAsia="Wingdings" w:cs="Wingdings"/>
          <w:sz w:val="24"/>
          <w:highlight w:val="none"/>
        </w:rPr>
        <w:t xml:space="preserve"></w:t>
      </w:r>
      <w:r>
        <w:rPr>
          <w:rFonts w:hint="eastAsia" w:ascii="宋体" w:hAnsi="宋体"/>
          <w:bCs/>
          <w:sz w:val="24"/>
          <w:highlight w:val="none"/>
        </w:rPr>
        <w:t xml:space="preserve">是，</w:t>
      </w:r>
      <w:r>
        <w:rPr>
          <w:rFonts w:hint="eastAsia" w:ascii="宋体" w:hAnsi="宋体"/>
          <w:bCs/>
          <w:sz w:val="24"/>
          <w:highlight w:val="none"/>
          <w:u w:val="single"/>
        </w:rPr>
        <w:t xml:space="preserve">（应明确对被破坏的检测产品的处理方式）</w:t>
      </w:r>
      <w:r/>
    </w:p>
    <w:p>
      <w:pPr>
        <w:ind w:firstLine="960"/>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否</w:t>
      </w:r>
      <w:r/>
    </w:p>
    <w:p>
      <w:pPr>
        <w:ind w:firstLine="960"/>
        <w:spacing w:line="360" w:lineRule="auto"/>
        <w:rPr>
          <w:rFonts w:ascii="宋体" w:hAnsi="宋体"/>
          <w:bCs/>
          <w:sz w:val="24"/>
          <w:highlight w:val="none"/>
          <w:u w:val="single"/>
        </w:rPr>
      </w:pPr>
      <w:r>
        <w:rPr>
          <w:rFonts w:hint="eastAsia" w:ascii="宋体" w:hAnsi="宋体"/>
          <w:bCs/>
          <w:sz w:val="24"/>
          <w:highlight w:val="none"/>
        </w:rPr>
        <w:t xml:space="preserve">验收组织的其他事项：</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（2）履约验收时间：</w:t>
      </w:r>
      <w:r>
        <w:rPr>
          <w:rFonts w:hint="eastAsia" w:ascii="宋体" w:hAnsi="宋体"/>
          <w:bCs/>
          <w:sz w:val="24"/>
          <w:highlight w:val="none"/>
          <w:u w:val="single"/>
        </w:rPr>
        <w:t xml:space="preserve">（计划于何时验收/供应商提出验收申请之日起   日内组织验收）</w:t>
      </w:r>
      <w:r/>
    </w:p>
    <w:p>
      <w:pPr>
        <w:ind w:firstLine="480"/>
        <w:spacing w:line="360" w:lineRule="auto"/>
        <w:rPr>
          <w:rFonts w:ascii="宋体" w:hAnsi="宋体"/>
          <w:bCs/>
          <w:sz w:val="24"/>
          <w:highlight w:val="none"/>
        </w:rPr>
      </w:pPr>
      <w:r>
        <w:rPr>
          <w:rFonts w:hint="eastAsia" w:ascii="宋体" w:hAnsi="宋体"/>
          <w:bCs/>
          <w:sz w:val="24"/>
          <w:highlight w:val="none"/>
        </w:rPr>
        <w:t xml:space="preserve">（3）履约验收方式：</w:t>
      </w:r>
      <w:r>
        <w:rPr>
          <w:rFonts w:ascii="Wingdings" w:hAnsi="Wingdings" w:eastAsia="Wingdings" w:cs="Wingdings"/>
          <w:sz w:val="24"/>
          <w:highlight w:val="none"/>
        </w:rPr>
        <w:t xml:space="preserve"></w:t>
      </w:r>
      <w:r>
        <w:rPr>
          <w:rFonts w:hint="eastAsia" w:ascii="宋体" w:hAnsi="宋体"/>
          <w:bCs/>
          <w:sz w:val="24"/>
          <w:highlight w:val="none"/>
        </w:rPr>
        <w:t xml:space="preserve">一次性验收         </w:t>
      </w:r>
      <w:r/>
    </w:p>
    <w:p>
      <w:pPr>
        <w:spacing w:line="360" w:lineRule="auto"/>
        <w:rPr>
          <w:rFonts w:ascii="宋体" w:hAnsi="宋体"/>
          <w:bCs/>
          <w:sz w:val="24"/>
          <w:highlight w:val="none"/>
        </w:rPr>
      </w:pPr>
      <w:r>
        <w:rPr>
          <w:rFonts w:ascii="Wingdings" w:hAnsi="Wingdings" w:eastAsia="Wingdings" w:cs="Wingdings"/>
          <w:sz w:val="24"/>
          <w:highlight w:val="none"/>
        </w:rPr>
        <w:t xml:space="preserve"></w:t>
      </w:r>
      <w:r>
        <w:rPr>
          <w:rFonts w:hint="eastAsia" w:ascii="宋体" w:hAnsi="宋体"/>
          <w:bCs/>
          <w:sz w:val="24"/>
          <w:highlight w:val="none"/>
        </w:rPr>
        <w:t xml:space="preserve">分期/分项验收：</w:t>
      </w:r>
      <w:r>
        <w:rPr>
          <w:rFonts w:hint="eastAsia" w:ascii="宋体" w:hAnsi="宋体"/>
          <w:bCs/>
          <w:sz w:val="24"/>
          <w:highlight w:val="none"/>
          <w:u w:val="single"/>
        </w:rPr>
        <w:t xml:space="preserve">（应明确分期</w:t>
      </w:r>
      <w:r>
        <w:rPr>
          <w:rFonts w:ascii="宋体" w:hAnsi="宋体"/>
          <w:bCs/>
          <w:sz w:val="24"/>
          <w:highlight w:val="none"/>
          <w:u w:val="single"/>
        </w:rPr>
        <w:t xml:space="preserve">/</w:t>
      </w:r>
      <w:r>
        <w:rPr>
          <w:rFonts w:hint="eastAsia" w:ascii="宋体" w:hAnsi="宋体"/>
          <w:bCs/>
          <w:sz w:val="24"/>
          <w:highlight w:val="none"/>
          <w:u w:val="single"/>
        </w:rPr>
        <w:t xml:space="preserve">分项验收的工作安排）</w:t>
      </w:r>
      <w:r/>
    </w:p>
    <w:p>
      <w:pPr>
        <w:ind w:firstLine="480"/>
        <w:spacing w:line="360" w:lineRule="auto"/>
        <w:rPr>
          <w:rFonts w:ascii="宋体" w:hAnsi="宋体"/>
          <w:bCs/>
          <w:sz w:val="24"/>
          <w:highlight w:val="none"/>
        </w:rPr>
      </w:pPr>
      <w:r>
        <w:rPr>
          <w:rFonts w:hint="eastAsia" w:ascii="宋体" w:hAnsi="宋体"/>
          <w:bCs/>
          <w:sz w:val="24"/>
          <w:highlight w:val="none"/>
        </w:rPr>
        <w:t xml:space="preserve">（4）履约验收程序：</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（5）履约验收的内容：</w:t>
      </w:r>
      <w:r>
        <w:rPr>
          <w:rFonts w:hint="eastAsia" w:ascii="宋体" w:hAnsi="宋体"/>
          <w:bCs/>
          <w:sz w:val="24"/>
          <w:highlight w:val="none"/>
          <w:u w:val="single"/>
        </w:rPr>
        <w:t xml:space="preserve">（应当包括每一项技术和商务要求的履约情况，特别是落实政府采购扶持中小企业，支持绿色发展和乡村振兴等政策情况）</w:t>
      </w:r>
      <w:r/>
    </w:p>
    <w:p>
      <w:pPr>
        <w:ind w:firstLine="480"/>
        <w:spacing w:line="360" w:lineRule="auto"/>
        <w:rPr>
          <w:rFonts w:ascii="宋体" w:hAnsi="宋体"/>
          <w:bCs/>
          <w:sz w:val="24"/>
          <w:highlight w:val="none"/>
          <w:u w:val="single"/>
        </w:rPr>
      </w:pPr>
      <w:r>
        <w:rPr>
          <w:rFonts w:hint="eastAsia" w:ascii="宋体" w:hAnsi="宋体"/>
          <w:bCs/>
          <w:sz w:val="24"/>
          <w:highlight w:val="none"/>
        </w:rPr>
        <w:t xml:space="preserve">（6）履约验收标准：</w:t>
      </w:r>
      <w:r/>
    </w:p>
    <w:p>
      <w:pPr>
        <w:ind w:firstLine="480"/>
        <w:jc w:val="left"/>
        <w:spacing w:line="360" w:lineRule="auto"/>
        <w:widowControl/>
        <w:rPr>
          <w:rFonts w:ascii="宋体" w:hAnsi="宋体" w:cs="宋体"/>
          <w:sz w:val="24"/>
          <w:highlight w:val="none"/>
        </w:rPr>
      </w:pPr>
      <w:r>
        <w:rPr>
          <w:rFonts w:hint="eastAsia" w:ascii="宋体" w:hAnsi="宋体" w:cs="宋体"/>
          <w:bCs/>
          <w:sz w:val="24"/>
          <w:highlight w:val="none"/>
        </w:rPr>
        <w:t xml:space="preserve">（7）是否以采购活动中供应商提供的样品作为参考：</w:t>
      </w:r>
      <w:r>
        <w:rPr>
          <w:rFonts w:ascii="Wingdings" w:hAnsi="Wingdings" w:eastAsia="Wingdings" w:cs="Wingdings"/>
          <w:sz w:val="24"/>
          <w:highlight w:val="none"/>
        </w:rPr>
        <w:t xml:space="preserve"></w:t>
      </w:r>
      <w:r>
        <w:rPr>
          <w:rFonts w:hint="eastAsia" w:ascii="宋体" w:hAnsi="宋体" w:cs="宋体"/>
          <w:bCs/>
          <w:sz w:val="24"/>
          <w:highlight w:val="none"/>
        </w:rPr>
        <w:t xml:space="preserve">是  </w:t>
      </w:r>
      <w:r>
        <w:rPr>
          <w:rFonts w:ascii="Wingdings" w:hAnsi="Wingdings" w:eastAsia="Wingdings" w:cs="Wingdings"/>
          <w:sz w:val="24"/>
          <w:highlight w:val="none"/>
        </w:rPr>
        <w:t xml:space="preserve"></w:t>
      </w:r>
      <w:r>
        <w:rPr>
          <w:rFonts w:hint="eastAsia" w:ascii="宋体" w:hAnsi="宋体" w:cs="宋体"/>
          <w:bCs/>
          <w:sz w:val="24"/>
          <w:highlight w:val="none"/>
        </w:rPr>
        <w:t xml:space="preserve">否</w:t>
      </w:r>
      <w:r/>
    </w:p>
    <w:p>
      <w:pPr>
        <w:ind w:firstLine="480"/>
        <w:spacing w:line="360" w:lineRule="auto"/>
        <w:rPr>
          <w:rFonts w:ascii="宋体" w:hAnsi="宋体" w:cs="宋体"/>
          <w:bCs/>
          <w:sz w:val="24"/>
          <w:highlight w:val="none"/>
          <w:u w:val="single"/>
        </w:rPr>
      </w:pPr>
      <w:r>
        <w:rPr>
          <w:rFonts w:hint="eastAsia" w:ascii="宋体" w:hAnsi="宋体" w:cs="宋体"/>
          <w:bCs/>
          <w:sz w:val="24"/>
          <w:highlight w:val="none"/>
        </w:rPr>
        <w:t xml:space="preserve">（8）履约验收其他事项：</w:t>
      </w:r>
      <w:r>
        <w:rPr>
          <w:rFonts w:hint="eastAsia" w:ascii="宋体" w:hAnsi="宋体" w:cs="宋体"/>
          <w:bCs/>
          <w:sz w:val="24"/>
          <w:highlight w:val="none"/>
          <w:u w:val="single"/>
        </w:rPr>
        <w:t xml:space="preserve">（产权过户登记等）</w:t>
      </w:r>
      <w:r/>
    </w:p>
    <w:p>
      <w:pPr>
        <w:numPr>
          <w:ilvl w:val="0"/>
          <w:numId w:val="1"/>
        </w:numPr>
        <w:ind w:firstLine="482"/>
        <w:spacing w:line="360" w:lineRule="auto"/>
        <w:rPr>
          <w:rFonts w:ascii="宋体" w:hAnsi="宋体"/>
          <w:b/>
          <w:sz w:val="24"/>
          <w:highlight w:val="none"/>
        </w:rPr>
      </w:pPr>
      <w:r>
        <w:rPr>
          <w:rFonts w:hint="eastAsia" w:ascii="宋体" w:hAnsi="宋体"/>
          <w:b/>
          <w:sz w:val="24"/>
          <w:highlight w:val="none"/>
        </w:rPr>
        <w:t xml:space="preserve">组成合同的文件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本协议书与下列文件一起构成合同文件，如下述文件之间有任何抵触、矛盾或歧义，应按以下顺序解释：</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（1）政府采购合同协议书及其变更、补充协议</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（2）政府采购合同专用条款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（3）政府采购合同通用条款</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（4）中标（成交）通知书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（5）投标（响应）文件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（6）采购文件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（7）有关技术文件，图纸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（8）国家法律、行政法规和规章制度规定或合同约定的作为合同组成部分的其他文件</w:t>
      </w:r>
      <w:r/>
    </w:p>
    <w:p>
      <w:pPr>
        <w:ind w:left="422"/>
        <w:spacing w:line="400" w:lineRule="exact"/>
        <w:rPr>
          <w:rFonts w:ascii="宋体" w:hAnsi="宋体"/>
          <w:b/>
          <w:color w:val="auto"/>
          <w:szCs w:val="21"/>
          <w:highlight w:val="none"/>
        </w:rPr>
      </w:pPr>
      <w:r>
        <w:rPr>
          <w:rFonts w:hint="eastAsia" w:ascii="宋体" w:hAnsi="宋体"/>
          <w:b/>
          <w:color w:val="auto"/>
          <w:szCs w:val="21"/>
          <w:highlight w:val="none"/>
        </w:rPr>
        <w:t xml:space="preserve">6.</w:t>
      </w:r>
      <w:r>
        <w:rPr>
          <w:rFonts w:hint="eastAsia" w:ascii="宋体" w:hAnsi="宋体"/>
          <w:b/>
          <w:color w:val="auto"/>
          <w:sz w:val="24"/>
          <w:highlight w:val="none"/>
        </w:rPr>
        <w:t xml:space="preserve">合同生效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本合同自</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日生效。</w:t>
      </w:r>
      <w:r/>
    </w:p>
    <w:p>
      <w:pPr>
        <w:ind w:left="482"/>
        <w:spacing w:line="360" w:lineRule="auto"/>
        <w:rPr>
          <w:rFonts w:ascii="宋体" w:hAnsi="宋体"/>
          <w:b/>
          <w:color w:val="auto"/>
          <w:sz w:val="24"/>
          <w:highlight w:val="none"/>
        </w:rPr>
      </w:pPr>
      <w:r>
        <w:rPr>
          <w:rFonts w:hint="eastAsia" w:ascii="宋体" w:hAnsi="宋体"/>
          <w:b/>
          <w:color w:val="auto"/>
          <w:sz w:val="24"/>
          <w:highlight w:val="none"/>
        </w:rPr>
        <w:t xml:space="preserve">7.合同份数</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份，甲方执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份，乙方执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份，均具有同等法律效力。</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合同订立时间：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合同订立地点：</w:t>
      </w:r>
      <w:r>
        <w:rPr>
          <w:rFonts w:hint="eastAsia" w:ascii="宋体" w:hAnsi="宋体"/>
          <w:color w:val="auto"/>
          <w:szCs w:val="21"/>
          <w:highlight w:val="none"/>
          <w:u w:val="single"/>
        </w:rPr>
        <w:t xml:space="preserve">                           </w:t>
      </w:r>
      <w:r/>
    </w:p>
    <w:p>
      <w:pPr>
        <w:ind w:firstLine="420"/>
        <w:spacing w:line="400" w:lineRule="exact"/>
        <w:rPr>
          <w:color w:val="auto"/>
          <w:highlight w:val="none"/>
        </w:rPr>
      </w:pPr>
      <w:r>
        <w:rPr>
          <w:rFonts w:hint="eastAsia" w:ascii="宋体" w:hAnsi="宋体"/>
          <w:color w:val="auto"/>
          <w:szCs w:val="21"/>
          <w:highlight w:val="none"/>
        </w:rPr>
        <w:t xml:space="preserve">附件：具体标的及其技术要求和商务要求、联合协议、分包意向协议等。</w:t>
      </w:r>
      <w:r/>
    </w:p>
    <w:p>
      <w:pPr>
        <w:ind w:firstLine="480"/>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uto"/>
        <w:rPr>
          <w:rFonts w:ascii="宋体" w:hAnsi="宋体"/>
          <w:color w:val="auto"/>
          <w:sz w:val="24"/>
          <w:highlight w:val="none"/>
          <w:u w:val="single"/>
        </w:rPr>
      </w:pPr>
      <w:r>
        <w:rPr>
          <w:rFonts w:hint="eastAsia"/>
          <w:color w:val="auto"/>
          <w:sz w:val="24"/>
          <w:highlight w:val="none"/>
        </w:rPr>
        <w:br w:type="page" w:clear="all"/>
      </w:r>
      <w:r/>
    </w:p>
    <w:p>
      <w:pPr>
        <w:ind w:firstLine="420"/>
        <w:spacing w:line="360" w:lineRule="auto"/>
        <w:rPr>
          <w:szCs w:val="21"/>
          <w:highlight w:val="none"/>
        </w:rPr>
      </w:pPr>
      <w:r>
        <w:rPr>
          <w:szCs w:val="21"/>
          <w:highlight w:val="none"/>
        </w:rPr>
      </w:r>
      <w:r/>
    </w:p>
    <w:tbl>
      <w:tblPr>
        <w:tblStyle w:val="684"/>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spacing w:line="360" w:lineRule="auto"/>
              <w:rPr>
                <w:sz w:val="24"/>
                <w:highlight w:val="none"/>
              </w:rPr>
            </w:pPr>
            <w:r>
              <w:rPr>
                <w:sz w:val="24"/>
                <w:highlight w:val="none"/>
              </w:rPr>
              <w:t xml:space="preserve">甲方</w:t>
            </w:r>
            <w:r>
              <w:rPr>
                <w:rFonts w:hint="eastAsia"/>
                <w:sz w:val="24"/>
                <w:highlight w:val="none"/>
              </w:rPr>
              <w:t xml:space="preserve">（采购人</w:t>
            </w:r>
            <w:r>
              <w:rPr>
                <w:rFonts w:hint="eastAsia" w:ascii="宋体" w:hAnsi="宋体"/>
                <w:sz w:val="24"/>
                <w:highlight w:val="none"/>
              </w:rPr>
              <w:t xml:space="preserve">、受采购人委托签订合同的单位或</w:t>
            </w:r>
            <w:r>
              <w:rPr>
                <w:rFonts w:hint="eastAsia"/>
                <w:sz w:val="24"/>
                <w:highlight w:val="none"/>
              </w:rPr>
              <w:t xml:space="preserve">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spacing w:line="360" w:lineRule="auto"/>
              <w:rPr>
                <w:sz w:val="24"/>
                <w:highlight w:val="none"/>
              </w:rPr>
            </w:pPr>
            <w:r>
              <w:rPr>
                <w:sz w:val="24"/>
                <w:highlight w:val="none"/>
              </w:rPr>
              <w:t xml:space="preserve">乙方</w:t>
            </w:r>
            <w:r>
              <w:rPr>
                <w:rFonts w:hint="eastAsia"/>
                <w:sz w:val="24"/>
                <w:highlight w:val="none"/>
              </w:rPr>
              <w:t xml:space="preserve">（供应商）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单位名称</w:t>
            </w:r>
            <w:r>
              <w:rPr>
                <w:rFonts w:hint="eastAsia"/>
                <w:sz w:val="24"/>
                <w:highlight w:val="none"/>
              </w:rPr>
              <w:t xml:space="preserve">（公章或合同章）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spacing w:line="360" w:lineRule="auto"/>
              <w:rPr>
                <w:sz w:val="24"/>
                <w:highlight w:val="none"/>
              </w:rPr>
            </w:pPr>
            <w:r>
              <w:rPr>
                <w:sz w:val="24"/>
                <w:highlight w:val="none"/>
              </w:rPr>
              <w:t xml:space="preserve">法定代表人</w:t>
            </w:r>
            <w:r/>
          </w:p>
          <w:p>
            <w:pPr>
              <w:ind w:firstLine="115"/>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法定代表人</w:t>
            </w:r>
            <w:r/>
          </w:p>
          <w:p>
            <w:pPr>
              <w:jc w:val="center"/>
              <w:spacing w:line="360" w:lineRule="auto"/>
              <w:rPr>
                <w:sz w:val="24"/>
                <w:highlight w:val="none"/>
              </w:rPr>
            </w:pPr>
            <w:r>
              <w:rPr>
                <w:rFonts w:hint="eastAsia"/>
                <w:sz w:val="24"/>
                <w:highlight w:val="none"/>
              </w:rPr>
              <w:t xml:space="preserve">或其</w:t>
            </w:r>
            <w:r>
              <w:rPr>
                <w:sz w:val="24"/>
                <w:highlight w:val="none"/>
              </w:rPr>
              <w:t xml:space="preserve">委托代理人</w:t>
            </w:r>
            <w:r>
              <w:rPr>
                <w:rFonts w:hint="eastAsia"/>
                <w:sz w:val="24"/>
                <w:highlight w:val="none"/>
              </w:rPr>
              <w:t xml:space="preserve">（签章）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z w:val="24"/>
                <w:highlight w:val="none"/>
              </w:rPr>
            </w:pPr>
            <w:r>
              <w:rPr>
                <w:sz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spacing w:line="360" w:lineRule="auto"/>
              <w:rPr>
                <w:sz w:val="24"/>
                <w:highlight w:val="none"/>
              </w:rPr>
            </w:pPr>
            <w:r>
              <w:rPr>
                <w:sz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rFonts w:hint="eastAsia"/>
                <w:sz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spacing w:line="360" w:lineRule="auto"/>
              <w:rPr>
                <w:sz w:val="24"/>
                <w:highlight w:val="none"/>
              </w:rPr>
            </w:pPr>
            <w:r>
              <w:rPr>
                <w:sz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spacing w:line="360" w:lineRule="auto"/>
              <w:rPr>
                <w:sz w:val="24"/>
                <w:highlight w:val="none"/>
              </w:rPr>
            </w:pPr>
            <w:r>
              <w:rPr>
                <w:sz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spacing w:line="360" w:lineRule="auto"/>
              <w:rPr>
                <w:spacing w:val="20"/>
                <w:sz w:val="24"/>
                <w:highlight w:val="none"/>
              </w:rPr>
            </w:pPr>
            <w:r>
              <w:rPr>
                <w:spacing w:val="20"/>
                <w:sz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spacing w:line="360" w:lineRule="auto"/>
              <w:rPr>
                <w:spacing w:val="20"/>
                <w:sz w:val="24"/>
                <w:highlight w:val="none"/>
              </w:rPr>
            </w:pPr>
            <w:r>
              <w:rPr>
                <w:rFonts w:hint="eastAsia" w:ascii="宋体" w:hAnsi="宋体"/>
                <w:sz w:val="24"/>
                <w:highlight w:val="none"/>
              </w:rPr>
              <w:t xml:space="preserve">注：涉及联合体或其他合同主体的信息应按上表格式加列。</w:t>
            </w:r>
            <w:r/>
          </w:p>
        </w:tc>
      </w:tr>
    </w:tbl>
    <w:p>
      <w:pPr>
        <w:pStyle w:val="682"/>
        <w:jc w:val="center"/>
        <w:spacing w:before="156"/>
        <w:rPr>
          <w:rFonts w:ascii="黑体" w:hAnsi="黑体" w:eastAsia="黑体"/>
          <w:sz w:val="28"/>
          <w:szCs w:val="28"/>
          <w:highlight w:val="none"/>
        </w:rPr>
      </w:pPr>
      <w:r>
        <w:rPr>
          <w:rFonts w:ascii="宋体" w:hAnsi="宋体"/>
          <w:highlight w:val="none"/>
          <w:u w:val="single"/>
        </w:rPr>
        <w:br w:type="page" w:clear="all"/>
      </w:r>
      <w:bookmarkStart w:id="192" w:name="_Toc27624"/>
      <w:r/>
      <w:bookmarkStart w:id="193" w:name="_Toc20313"/>
      <w:r>
        <w:rPr>
          <w:rFonts w:hint="eastAsia" w:ascii="黑体" w:hAnsi="黑体" w:eastAsia="黑体"/>
          <w:b w:val="0"/>
          <w:bCs w:val="0"/>
          <w:sz w:val="28"/>
          <w:szCs w:val="28"/>
          <w:highlight w:val="none"/>
        </w:rPr>
        <w:t xml:space="preserve">第二节 政府采购合同通用条款</w:t>
      </w:r>
      <w:bookmarkEnd w:id="192"/>
      <w:r/>
      <w:r/>
    </w:p>
    <w:p>
      <w:pPr>
        <w:jc w:val="left"/>
        <w:spacing w:line="400" w:lineRule="exact"/>
        <w:tabs>
          <w:tab w:val="left" w:pos="8820" w:leader="none"/>
          <w:tab w:val="left" w:pos="9345" w:leader="none"/>
          <w:tab w:val="left" w:pos="9765" w:leader="none"/>
        </w:tabs>
        <w:rPr>
          <w:rFonts w:hint="eastAsia" w:ascii="宋体" w:hAnsi="宋体"/>
          <w:b/>
          <w:bCs/>
          <w:sz w:val="24"/>
          <w:highlight w:val="none"/>
        </w:rPr>
      </w:pPr>
      <w:r>
        <w:rPr>
          <w:rFonts w:hint="eastAsia" w:ascii="宋体" w:hAnsi="宋体"/>
          <w:b/>
          <w:sz w:val="24"/>
          <w:highlight w:val="none"/>
        </w:rPr>
        <w:t xml:space="preserve">1. </w:t>
      </w:r>
      <w:r>
        <w:rPr>
          <w:rFonts w:hint="eastAsia" w:ascii="宋体" w:hAnsi="宋体"/>
          <w:b/>
          <w:bCs/>
          <w:sz w:val="24"/>
          <w:highlight w:val="none"/>
        </w:rPr>
        <w:t xml:space="preserve">定义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1.2本合同下列术语应解释为：</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szCs w:val="21"/>
          <w:highlight w:val="none"/>
        </w:rP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w:t>
      </w:r>
      <w:r>
        <w:rPr>
          <w:rFonts w:hint="eastAsia" w:ascii="宋体" w:hAnsi="宋体"/>
          <w:color w:val="000000" w:themeColor="text1"/>
          <w:szCs w:val="21"/>
          <w:highlight w:val="none"/>
          <w:lang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备品备件、工具、手册及</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技术资料和材料等。</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eastAsia" w:ascii="宋体" w:hAnsi="宋体"/>
          <w:szCs w:val="21"/>
          <w:highlight w:val="none"/>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服务”系指根据合同规定，乙方应提供的与货物有关的技术、管理和</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line="400" w:lineRule="exact"/>
        <w:rPr>
          <w:rFonts w:hint="eastAsia"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3. 履行合同的时间、地点和方式</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4. 甲方的权利和义务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hint="eastAsia" w:eastAsia="华文楷体"/>
          <w:highlight w:val="none"/>
        </w:rPr>
      </w:pPr>
      <w:r>
        <w:rPr>
          <w:rFonts w:hint="eastAsia" w:ascii="宋体" w:hAnsi="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szCs w:val="21"/>
          <w:highlight w:val="none"/>
        </w:rPr>
        <w:t xml:space="preserve">未</w:t>
      </w:r>
      <w:r>
        <w:rPr>
          <w:rFonts w:hint="eastAsia" w:ascii="宋体" w:hAnsi="宋体"/>
          <w:color w:val="000000" w:themeColor="text1"/>
          <w:szCs w:val="21"/>
          <w:highlight w:val="none"/>
          <w14:textFill>
            <w14:solidFill>
              <w14:schemeClr w14:val="tx1"/>
            </w14:solidFill>
          </w14:textFill>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themeColor="text1"/>
          <w:szCs w:val="21"/>
          <w:highlight w:val="none"/>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约定应由甲方承担的其他义务和责任。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5. 乙方的权利和义务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8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5.3乙方有权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根据合同约定向甲方收取合同价款。</w:t>
      </w:r>
      <w:r/>
    </w:p>
    <w:p>
      <w:pPr>
        <w:pStyle w:val="686"/>
        <w:ind w:firstLine="369"/>
        <w:spacing w:after="0" w:line="4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14:textFill>
            <w14:solidFill>
              <w14:schemeClr w14:val="tx1"/>
            </w14:solidFill>
          </w14:textFill>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合同履行</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line="400" w:lineRule="exact"/>
        <w:rPr>
          <w:rFonts w:hint="eastAsia"/>
          <w:highlight w:val="none"/>
        </w:rPr>
      </w:pPr>
      <w:r>
        <w:rPr>
          <w:rFonts w:hint="eastAsia" w:ascii="宋体" w:hAnsi="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7. 货物包装、运输、保险和交付要求</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7.1 本合同</w:t>
      </w:r>
      <w:r>
        <w:rPr>
          <w:rFonts w:hint="eastAsia" w:ascii="宋体" w:hAnsi="宋体"/>
          <w:bCs/>
          <w:color w:val="000000" w:themeColor="text1"/>
          <w:szCs w:val="21"/>
          <w:highlight w:val="none"/>
          <w14:textFill>
            <w14:solidFill>
              <w14:schemeClr w14:val="tx1"/>
            </w14:solidFill>
          </w14:textFill>
        </w:rPr>
        <w:t xml:space="preserve">涉及商品包装、快递包装的，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另有约定外，</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697"/>
        <w:ind w:firstLine="420"/>
        <w:rPr>
          <w:rFonts w:hint="eastAsia"/>
          <w:sz w:val="21"/>
          <w:highlight w:val="none"/>
        </w:rPr>
      </w:pPr>
      <w:r>
        <w:rPr>
          <w:rFonts w:hint="eastAsia" w:ascii="宋体" w:hAnsi="宋体" w:eastAsia="宋体" w:cs="Times New Roman"/>
          <w:color w:val="000000" w:themeColor="text1"/>
          <w:sz w:val="21"/>
          <w:highlight w:val="none"/>
          <w14:textFill>
            <w14:solidFill>
              <w14:schemeClr w14:val="tx1"/>
            </w14:solidFill>
          </w14:textFill>
        </w:rPr>
        <w:t xml:space="preserve">7.6 </w:t>
      </w:r>
      <w:r>
        <w:rPr>
          <w:rFonts w:hint="eastAsia" w:ascii="宋体" w:hAnsi="宋体" w:eastAsia="宋体" w:cs="Times New Roman"/>
          <w:color w:val="000000"/>
          <w:sz w:val="21"/>
          <w:highlight w:val="none"/>
        </w:rPr>
        <w:t xml:space="preserve">如因包装、运输问题导致货物</w:t>
      </w:r>
      <w:r>
        <w:rPr>
          <w:rFonts w:hint="eastAsia" w:ascii="宋体" w:hAnsi="宋体" w:eastAsia="宋体" w:cs="Times New Roman"/>
          <w:color w:val="000000" w:themeColor="text1"/>
          <w:sz w:val="21"/>
          <w:highlight w:val="none"/>
          <w14:textFill>
            <w14:solidFill>
              <w14:schemeClr w14:val="tx1"/>
            </w14:solidFill>
          </w14:textFill>
        </w:rPr>
        <w:t xml:space="preserve">损毁、丢失</w:t>
      </w:r>
      <w:r>
        <w:rPr>
          <w:rFonts w:hint="eastAsia" w:ascii="宋体" w:hAnsi="宋体" w:eastAsia="宋体" w:cs="Times New Roman"/>
          <w:color w:val="000000"/>
          <w:sz w:val="21"/>
          <w:highlight w:val="none"/>
        </w:rPr>
        <w:t xml:space="preserve">或者品质下降，甲方有权要求降价、换货、拒收部分或整批货物，由此产生的费用和损失，均由乙方承担。</w:t>
      </w:r>
      <w:r/>
    </w:p>
    <w:p>
      <w:pPr>
        <w:jc w:val="left"/>
        <w:spacing w:line="400" w:lineRule="exact"/>
        <w:rPr>
          <w:rFonts w:hint="eastAsia" w:ascii="宋体" w:hAnsi="宋体"/>
          <w:b/>
          <w:sz w:val="24"/>
          <w:highlight w:val="none"/>
        </w:rPr>
      </w:pPr>
      <w:r>
        <w:rPr>
          <w:rFonts w:hint="eastAsia" w:ascii="宋体" w:hAnsi="宋体"/>
          <w:b/>
          <w:color w:val="000000" w:themeColor="text1"/>
          <w:sz w:val="24"/>
          <w:highlight w:val="none"/>
          <w14:textFill>
            <w14:solidFill>
              <w14:schemeClr w14:val="tx1"/>
            </w14:solidFill>
          </w14:textFill>
        </w:rPr>
        <w:t xml:space="preserve">8. </w:t>
      </w:r>
      <w:r>
        <w:rPr>
          <w:rFonts w:hint="eastAsia" w:ascii="宋体" w:hAnsi="宋体"/>
          <w:b/>
          <w:sz w:val="24"/>
          <w:highlight w:val="none"/>
        </w:rPr>
        <w:t xml:space="preserve">质量标准和保证</w:t>
      </w:r>
      <w:r/>
    </w:p>
    <w:p>
      <w:pPr>
        <w:pStyle w:val="687"/>
        <w:ind w:firstLine="420"/>
        <w:jc w:val="left"/>
        <w:spacing w:line="400" w:lineRule="exact"/>
        <w:rPr>
          <w:rFonts w:hint="eastAsia" w:hAnsi="宋体"/>
          <w:b/>
          <w:highlight w:val="none"/>
        </w:rPr>
      </w:pPr>
      <w:r>
        <w:rPr>
          <w:rFonts w:hint="eastAsia" w:hAnsi="宋体"/>
          <w:highlight w:val="none"/>
        </w:rPr>
        <w:t xml:space="preserve">8.1 质量标准</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87"/>
        <w:ind w:firstLine="420"/>
        <w:jc w:val="left"/>
        <w:spacing w:line="400" w:lineRule="exact"/>
        <w:rPr>
          <w:rFonts w:hint="eastAsia" w:hAnsi="宋体"/>
          <w:highlight w:val="none"/>
        </w:rPr>
      </w:pPr>
      <w:r>
        <w:rPr>
          <w:rFonts w:hint="eastAsia" w:hAnsi="宋体"/>
          <w:highlight w:val="none"/>
        </w:rPr>
        <w:t xml:space="preserve">（2）采用中华人民共和国法定计量单位。</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8.2 保证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14:textFill>
            <w14:solidFill>
              <w14:schemeClr w14:val="tx1"/>
            </w14:solidFill>
          </w14:textFill>
        </w:rPr>
        <w:t xml:space="preserve">5</w:t>
      </w:r>
      <w:r>
        <w:rPr>
          <w:rFonts w:hint="eastAsia" w:ascii="宋体" w:hAnsi="宋体"/>
          <w:szCs w:val="21"/>
          <w:highlight w:val="none"/>
        </w:rPr>
        <w:t xml:space="preserve">.1条规定以书面形式</w:t>
      </w:r>
      <w:r>
        <w:rPr>
          <w:rFonts w:hint="eastAsia" w:ascii="宋体" w:hAnsi="宋体"/>
          <w:color w:val="000000" w:themeColor="text1"/>
          <w:szCs w:val="21"/>
          <w:highlight w:val="none"/>
          <w14:textFill>
            <w14:solidFill>
              <w14:schemeClr w14:val="tx1"/>
            </w14:solidFill>
          </w14:textFill>
        </w:rPr>
        <w:t xml:space="preserve">追究</w:t>
      </w:r>
      <w:r>
        <w:rPr>
          <w:rFonts w:hint="eastAsia" w:ascii="宋体" w:hAnsi="宋体"/>
          <w:szCs w:val="21"/>
          <w:highlight w:val="none"/>
        </w:rPr>
        <w:t xml:space="preserve">乙方</w:t>
      </w:r>
      <w:r>
        <w:rPr>
          <w:rFonts w:hint="eastAsia" w:ascii="宋体" w:hAnsi="宋体"/>
          <w:color w:val="000000" w:themeColor="text1"/>
          <w:szCs w:val="21"/>
          <w:highlight w:val="none"/>
          <w14:textFill>
            <w14:solidFill>
              <w14:schemeClr w14:val="tx1"/>
            </w14:solidFill>
          </w14:textFill>
        </w:rPr>
        <w:t xml:space="preserve">的违约责任</w:t>
      </w:r>
      <w:r>
        <w:rPr>
          <w:rFonts w:hint="eastAsia" w:ascii="宋体" w:hAnsi="宋体"/>
          <w:szCs w:val="21"/>
          <w:highlight w:val="none"/>
        </w:rPr>
        <w:t xml:space="preserve">。</w:t>
      </w:r>
      <w:r/>
    </w:p>
    <w:p>
      <w:pPr>
        <w:ind w:firstLine="420"/>
        <w:jc w:val="left"/>
        <w:spacing w:line="400" w:lineRule="exact"/>
        <w:rPr>
          <w:rFonts w:hint="eastAsia"/>
          <w:highlight w:val="none"/>
        </w:rP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Pr>
      <w:r>
        <w:rPr>
          <w:rFonts w:hint="eastAsia" w:ascii="宋体" w:hAnsi="宋体"/>
          <w:b/>
          <w:bCs/>
          <w:color w:val="000000" w:themeColor="text1"/>
          <w:sz w:val="24"/>
          <w:highlight w:val="none"/>
          <w14:textFill>
            <w14:solidFill>
              <w14:schemeClr w14:val="tx1"/>
            </w14:solidFill>
          </w14:textFill>
        </w:rPr>
        <w:t xml:space="preserve">9</w:t>
      </w:r>
      <w:r>
        <w:rPr>
          <w:rFonts w:hint="eastAsia" w:ascii="宋体" w:hAnsi="宋体"/>
          <w:b/>
          <w:bCs/>
          <w:sz w:val="24"/>
          <w:highlight w:val="none"/>
        </w:rPr>
        <w:t xml:space="preserve">.</w:t>
      </w:r>
      <w:r>
        <w:rPr>
          <w:rFonts w:hint="eastAsia" w:ascii="宋体" w:hAnsi="宋体"/>
          <w:b/>
          <w:bCs/>
          <w:color w:val="000000" w:themeColor="text1"/>
          <w:sz w:val="24"/>
          <w:highlight w:val="none"/>
          <w14:textFill>
            <w14:solidFill>
              <w14:schemeClr w14:val="tx1"/>
            </w14:solidFill>
          </w14:textFill>
        </w:rPr>
        <w:t xml:space="preserve"> </w:t>
      </w:r>
      <w:r>
        <w:rPr>
          <w:rFonts w:hint="eastAsia" w:ascii="宋体" w:hAnsi="宋体"/>
          <w:b/>
          <w:bCs/>
          <w:sz w:val="24"/>
          <w:highlight w:val="none"/>
        </w:rPr>
        <w:t xml:space="preserve">权利瑕疵担保</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9.1 乙方保证对其出售的货物享有合法的权利。</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jc w:val="left"/>
        <w:spacing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10. 知识产权保护</w:t>
      </w:r>
      <w:r/>
    </w:p>
    <w:p>
      <w:pPr>
        <w:ind w:firstLine="420"/>
        <w:jc w:val="left"/>
        <w:spacing w:line="400" w:lineRule="exact"/>
        <w:rPr>
          <w:rFonts w:hint="eastAsia" w:ascii="宋体" w:hAnsi="宋体"/>
          <w:szCs w:val="21"/>
          <w:highlight w:val="none"/>
        </w:rPr>
      </w:pPr>
      <w:r>
        <w:rPr>
          <w:rFonts w:hint="eastAsia" w:ascii="宋体" w:hAnsi="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194"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94"/>
      <w:r>
        <w:rPr>
          <w:rFonts w:hint="eastAsia" w:ascii="宋体" w:hAnsi="宋体"/>
          <w:szCs w:val="21"/>
          <w:highlight w:val="none"/>
        </w:rPr>
        <w:t xml:space="preserve">。</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11. 保密义务</w:t>
      </w:r>
      <w:r/>
    </w:p>
    <w:p>
      <w:pPr>
        <w:ind w:firstLine="420"/>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12. 合同价款支付</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12.1 合同价款支付按照国库集中支付制度及财政管理相关规定执行。</w:t>
      </w:r>
      <w:r/>
    </w:p>
    <w:p>
      <w:pPr>
        <w:pStyle w:val="682"/>
        <w:ind w:firstLine="420"/>
        <w:spacing w:line="400" w:lineRule="exact"/>
        <w:rPr>
          <w:rFonts w:hint="eastAsia"/>
          <w:highlight w:val="none"/>
        </w:rPr>
      </w:pPr>
      <w:r>
        <w:rPr>
          <w:rFonts w:hint="eastAsia" w:ascii="宋体" w:hAnsi="宋体" w:cs="宋体" w:eastAsiaTheme="minorEastAsia"/>
          <w:b w:val="0"/>
          <w:bCs w:val="0"/>
          <w:sz w:val="21"/>
          <w:szCs w:val="15"/>
          <w:highlight w:val="none"/>
          <w:lang w:val="en-US" w:eastAsia="zh-CN" w:bidi="ar-SA"/>
        </w:rPr>
        <w:t xml:space="preserve">12.2 对于满足合同约定支付条件的，甲方原则上应当自收到发票后10个工作日内将资</w:t>
      </w:r>
      <w:r>
        <w:rPr>
          <w:rFonts w:hint="eastAsia" w:ascii="宋体" w:hAnsi="宋体"/>
          <w:b w:val="0"/>
          <w:bCs w:val="0"/>
          <w:sz w:val="21"/>
          <w:szCs w:val="21"/>
          <w:highlight w:val="none"/>
        </w:rPr>
        <w:t xml:space="preserve">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highlight w:val="none"/>
        </w:rPr>
        <w:t xml:space="preserve">政府采购合同专用条款</w:t>
      </w:r>
      <w:r>
        <w:rPr>
          <w:rFonts w:hint="eastAsia" w:ascii="宋体" w:hAnsi="宋体"/>
          <w:b w:val="0"/>
          <w:bCs w:val="0"/>
          <w:sz w:val="21"/>
          <w:szCs w:val="21"/>
          <w:highlight w:val="none"/>
        </w:rPr>
        <w:t xml:space="preserve">】中约定。</w:t>
      </w:r>
      <w:r/>
    </w:p>
    <w:p>
      <w:pPr>
        <w:pStyle w:val="686"/>
        <w:spacing w:after="0" w:line="400" w:lineRule="exact"/>
        <w:rPr>
          <w:rFonts w:ascii="宋体" w:hAnsi="宋体"/>
          <w:b/>
          <w:bCs/>
          <w:sz w:val="24"/>
          <w:szCs w:val="24"/>
          <w:highlight w:val="none"/>
        </w:rPr>
      </w:pPr>
      <w:r>
        <w:rPr>
          <w:rFonts w:hint="eastAsia" w:ascii="宋体" w:hAnsi="宋体"/>
          <w:b/>
          <w:bCs/>
          <w:sz w:val="24"/>
          <w:szCs w:val="24"/>
          <w:highlight w:val="none"/>
        </w:rPr>
        <w:t xml:space="preserve">13. 履约保证金</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highlight w:val="none"/>
        </w:rP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697"/>
        <w:ind w:firstLine="42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15. 违约责任</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15.1质量瑕疵的违约责任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15.2 迟延交货的违约责任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15.3 迟延支付的违约责任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hint="eastAsia" w:ascii="宋体" w:hAnsi="宋体"/>
          <w:szCs w:val="21"/>
          <w:highlight w:val="none"/>
        </w:rPr>
      </w:pPr>
      <w:r>
        <w:rPr>
          <w:rFonts w:hint="eastAsia" w:ascii="宋体" w:hAnsi="宋体"/>
          <w:bCs/>
          <w:szCs w:val="21"/>
          <w:highlight w:val="none"/>
        </w:rPr>
        <w:t xml:space="preserve">15.4其他违约责任根据项目实际需要按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hint="eastAsia" w:ascii="宋体" w:hAnsi="宋体"/>
          <w:b/>
          <w:sz w:val="24"/>
          <w:highlight w:val="none"/>
        </w:rPr>
      </w:pPr>
      <w:r>
        <w:rPr>
          <w:rFonts w:hint="eastAsia" w:ascii="宋体" w:hAnsi="宋体"/>
          <w:b/>
          <w:sz w:val="24"/>
          <w:highlight w:val="none"/>
        </w:rPr>
        <w:t xml:space="preserve">合同变更、中止与终止</w:t>
      </w:r>
      <w:r/>
    </w:p>
    <w:p>
      <w:pPr>
        <w:jc w:val="left"/>
        <w:spacing w:line="400" w:lineRule="exact"/>
        <w:rPr>
          <w:rFonts w:hint="eastAsia" w:ascii="宋体" w:hAnsi="宋体"/>
          <w:szCs w:val="21"/>
          <w:highlight w:val="none"/>
        </w:rPr>
      </w:pPr>
      <w:r>
        <w:rPr>
          <w:rFonts w:hint="eastAsia" w:ascii="宋体" w:hAnsi="宋体"/>
          <w:szCs w:val="21"/>
          <w:highlight w:val="none"/>
        </w:rPr>
        <w:t xml:space="preserve">    16.1合同的变更</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16.2合同的中止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97"/>
        <w:ind w:firstLine="420"/>
        <w:jc w:val="both"/>
        <w:rPr>
          <w:rFonts w:hint="eastAsia"/>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highlight w:val="none"/>
        </w:rP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16.3合同的终止</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（1）合同因有效期限届满而终止；</w:t>
      </w:r>
      <w:r/>
    </w:p>
    <w:p>
      <w:pPr>
        <w:ind w:firstLine="420"/>
        <w:spacing w:line="400" w:lineRule="exact"/>
        <w:rPr>
          <w:rFonts w:hint="eastAsia" w:ascii="宋体" w:hAnsi="宋体" w:cs="宋体"/>
          <w:szCs w:val="21"/>
          <w:highlight w:val="none"/>
        </w:rP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697"/>
        <w:rPr>
          <w:rFonts w:hint="eastAsia" w:ascii="宋体" w:hAnsi="宋体"/>
          <w:highlight w:val="none"/>
        </w:rP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697"/>
        <w:ind w:firstLine="420"/>
        <w:jc w:val="both"/>
        <w:rPr>
          <w:rFonts w:hint="eastAsia"/>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17. 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18. 不可抗力</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highlight w:val="none"/>
        </w:rPr>
      </w:pPr>
      <w:r>
        <w:rPr>
          <w:rFonts w:hint="eastAsia" w:ascii="宋体" w:hAnsi="宋体"/>
          <w:b/>
          <w:bCs/>
          <w:sz w:val="24"/>
          <w:highlight w:val="none"/>
        </w:rPr>
        <w:t xml:space="preserve">19. 解决争议的方法</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sz w:val="24"/>
          <w:highlight w:val="none"/>
        </w:rPr>
      </w:pPr>
      <w:r>
        <w:rPr>
          <w:rFonts w:hint="eastAsia" w:ascii="宋体" w:hAnsi="宋体"/>
          <w:b/>
          <w:sz w:val="24"/>
          <w:highlight w:val="none"/>
        </w:rPr>
        <w:t xml:space="preserve">20. 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686"/>
        <w:ind w:firstLine="420"/>
        <w:spacing w:after="0" w:line="400" w:lineRule="exact"/>
        <w:rPr>
          <w:rFonts w:hint="eastAsia"/>
          <w:highlight w:val="none"/>
        </w:rPr>
      </w:pPr>
      <w:r>
        <w:rPr>
          <w:rFonts w:hint="eastAsia" w:ascii="宋体" w:hAnsi="宋体"/>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Pr>
      <w:r>
        <w:rPr>
          <w:rFonts w:hint="eastAsia" w:ascii="宋体" w:hAnsi="宋体"/>
          <w:b/>
          <w:sz w:val="24"/>
          <w:highlight w:val="none"/>
        </w:rPr>
        <w:t xml:space="preserve">21. 法律适用</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hint="eastAsia" w:ascii="宋体" w:hAnsi="宋体"/>
          <w:b/>
          <w:sz w:val="24"/>
          <w:highlight w:val="none"/>
        </w:rPr>
      </w:pPr>
      <w:r>
        <w:rPr>
          <w:rFonts w:hint="eastAsia" w:ascii="宋体" w:hAnsi="宋体"/>
          <w:b/>
          <w:sz w:val="24"/>
          <w:highlight w:val="none"/>
        </w:rPr>
        <w:t xml:space="preserve">22. 通知</w:t>
      </w:r>
      <w:r/>
    </w:p>
    <w:p>
      <w:pPr>
        <w:pStyle w:val="697"/>
        <w:ind w:firstLine="42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697"/>
        <w:ind w:firstLine="0"/>
        <w:jc w:val="both"/>
        <w:rPr>
          <w:rFonts w:hint="eastAsia"/>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宋体" w:hAnsi="宋体"/>
          <w:szCs w:val="21"/>
          <w:highlight w:val="none"/>
        </w:rPr>
      </w:pPr>
      <w:r>
        <w:rPr>
          <w:rFonts w:hint="eastAsia" w:ascii="宋体" w:hAnsi="宋体"/>
          <w:szCs w:val="21"/>
          <w:highlight w:val="none"/>
        </w:rPr>
        <w:t xml:space="preserve">22.4通知以送达之日或通知书中规定的生效之日起生效，两者中以较迟之日为准。</w:t>
      </w:r>
      <w:r/>
    </w:p>
    <w:p>
      <w:pPr>
        <w:numPr>
          <w:ilvl w:val="0"/>
          <w:numId w:val="8"/>
        </w:numPr>
        <w:jc w:val="left"/>
        <w:spacing w:line="400" w:lineRule="exact"/>
        <w:rPr>
          <w:rFonts w:hint="eastAsia" w:ascii="宋体" w:hAnsi="宋体"/>
          <w:b/>
          <w:bCs/>
          <w:sz w:val="24"/>
          <w:highlight w:val="none"/>
        </w:rPr>
      </w:pPr>
      <w:r>
        <w:rPr>
          <w:rFonts w:hint="eastAsia" w:ascii="宋体" w:hAnsi="宋体"/>
          <w:b/>
          <w:bCs/>
          <w:sz w:val="24"/>
          <w:highlight w:val="none"/>
        </w:rPr>
        <w:t xml:space="preserve">合同未尽事项</w:t>
      </w:r>
      <w:r/>
    </w:p>
    <w:p>
      <w:pPr>
        <w:ind w:firstLine="420"/>
        <w:jc w:val="left"/>
        <w:spacing w:line="400" w:lineRule="exact"/>
        <w:rPr>
          <w:rFonts w:hint="eastAsia" w:ascii="宋体" w:hAnsi="宋体"/>
          <w:bCs/>
          <w:szCs w:val="21"/>
          <w:highlight w:val="none"/>
        </w:rPr>
      </w:pPr>
      <w:r>
        <w:rPr>
          <w:rFonts w:hint="eastAsia" w:ascii="宋体" w:hAnsi="宋体"/>
          <w:bCs/>
          <w:szCs w:val="21"/>
          <w:highlight w:val="none"/>
        </w:rPr>
        <w:t xml:space="preserve">23.1合同未尽事项见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hint="eastAsia" w:ascii="黑体" w:hAnsi="华文中宋" w:eastAsia="黑体"/>
          <w:sz w:val="28"/>
          <w:szCs w:val="28"/>
          <w:highlight w:val="none"/>
        </w:rPr>
      </w:pPr>
      <w:r>
        <w:rPr>
          <w:rFonts w:hint="eastAsia" w:ascii="宋体" w:hAnsi="宋体"/>
          <w:bCs/>
          <w:szCs w:val="21"/>
          <w:highlight w:val="none"/>
        </w:rPr>
        <w:t xml:space="preserve">    23.2 合同附件与合同正文具有同等的法律效力。</w:t>
      </w:r>
      <w:r/>
    </w:p>
    <w:p>
      <w:pPr>
        <w:jc w:val="center"/>
        <w:keepLines/>
        <w:keepNext/>
        <w:spacing w:line="360" w:lineRule="auto"/>
        <w:rPr>
          <w:rFonts w:ascii="黑体" w:hAnsi="华文中宋" w:eastAsia="黑体"/>
          <w:sz w:val="24"/>
          <w:highlight w:val="none"/>
        </w:rPr>
        <w:outlineLvl w:val="1"/>
      </w:pPr>
      <w:r>
        <w:rPr>
          <w:rFonts w:hint="eastAsia" w:ascii="黑体" w:hAnsi="华文中宋" w:eastAsia="黑体"/>
          <w:sz w:val="24"/>
          <w:highlight w:val="none"/>
        </w:rPr>
        <w:br w:type="page" w:clear="all"/>
      </w:r>
      <w:r/>
    </w:p>
    <w:p>
      <w:pPr>
        <w:jc w:val="center"/>
        <w:keepLines/>
        <w:keepNext/>
        <w:spacing w:line="360" w:lineRule="auto"/>
        <w:rPr>
          <w:rFonts w:ascii="黑体" w:hAnsi="华文中宋" w:eastAsia="黑体"/>
          <w:color w:val="auto"/>
          <w:sz w:val="24"/>
          <w:highlight w:val="none"/>
        </w:rPr>
        <w:outlineLvl w:val="1"/>
      </w:pPr>
      <w:r>
        <w:rPr>
          <w:rFonts w:hint="eastAsia" w:ascii="黑体" w:hAnsi="华文中宋" w:eastAsia="黑体"/>
          <w:color w:val="auto"/>
          <w:sz w:val="24"/>
          <w:highlight w:val="none"/>
        </w:rPr>
        <w:t xml:space="preserve">第三节 政府采购合同专用条款</w:t>
      </w:r>
      <w:bookmarkEnd w:id="193"/>
      <w:r/>
      <w:r/>
    </w:p>
    <w:tbl>
      <w:tblPr>
        <w:tblStyle w:val="684"/>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联合体具体要求</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0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第1.2（7）项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其他术语解释</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履约验收中甲方提出异议或作出说明的期限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第4.6款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约定甲方承担的其他义务和责任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color w:val="auto"/>
                <w:sz w:val="24"/>
                <w:highlight w:val="none"/>
              </w:rPr>
            </w:pPr>
            <w:r>
              <w:rPr>
                <w:rFonts w:hint="eastAsia" w:ascii="宋体" w:hAnsi="宋体"/>
                <w:color w:val="auto"/>
                <w:sz w:val="24"/>
                <w:highlight w:val="none"/>
              </w:rPr>
              <w:t xml:space="preserve">第5.4款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约定乙方承担的其他义务和责任</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第6.1款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履行合同义务的顺序</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cantSplit/>
          <w:trHeight w:val="9134"/>
        </w:trPr>
        <w:tc>
          <w:tcPr>
            <w:tcW w:w="1560" w:type="dxa"/>
            <w:vAlign w:val="center"/>
            <w:vMerge w:val="restart"/>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包装特殊要求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color w:val="auto"/>
                <w:sz w:val="24"/>
                <w:highlight w:val="none"/>
              </w:rPr>
            </w:pPr>
            <w:r>
              <w:rPr>
                <w:rFonts w:hint="eastAsia"/>
                <w:color w:val="auto"/>
                <w:sz w:val="24"/>
                <w:highlight w:val="none"/>
              </w:rPr>
              <w:t xml:space="preserve">1.商品包装层数不得超过3 层，空隙率不大于40%；</w:t>
            </w:r>
            <w:r/>
          </w:p>
          <w:p>
            <w:pPr>
              <w:rPr>
                <w:color w:val="auto"/>
                <w:sz w:val="24"/>
                <w:highlight w:val="none"/>
              </w:rPr>
            </w:pPr>
            <w:r>
              <w:rPr>
                <w:rFonts w:hint="eastAsia"/>
                <w:color w:val="auto"/>
                <w:sz w:val="24"/>
                <w:highlight w:val="none"/>
              </w:rPr>
              <w:t xml:space="preserve">2.商品包装尽可能使用单一材质的包装材料，如因功能需求必需使用不同材质，不同材质间应便于分离；</w:t>
            </w:r>
            <w:r/>
          </w:p>
          <w:p>
            <w:pPr>
              <w:rPr>
                <w:color w:val="auto"/>
                <w:sz w:val="24"/>
                <w:highlight w:val="none"/>
              </w:rPr>
            </w:pPr>
            <w:r>
              <w:rPr>
                <w:rFonts w:hint="eastAsia"/>
                <w:color w:val="auto"/>
                <w:sz w:val="24"/>
                <w:highlight w:val="none"/>
              </w:rPr>
              <w:t xml:space="preserve">3.商品包装中铅、汞、镉、六价铬的总含量应不大于100mg/kg；</w:t>
            </w:r>
            <w:r/>
          </w:p>
          <w:p>
            <w:pPr>
              <w:rPr>
                <w:color w:val="auto"/>
                <w:sz w:val="24"/>
                <w:highlight w:val="none"/>
              </w:rPr>
            </w:pPr>
            <w:r>
              <w:rPr>
                <w:rFonts w:hint="eastAsia"/>
                <w:color w:val="auto"/>
                <w:sz w:val="24"/>
                <w:highlight w:val="none"/>
              </w:rPr>
              <w:t xml:space="preserve">4.商品包装印刷使用的油墨中挥发性有机化合物(VOCs)含量应不大于 5%（以重量计）；</w:t>
            </w:r>
            <w:r/>
          </w:p>
          <w:p>
            <w:pPr>
              <w:rPr>
                <w:color w:val="auto"/>
                <w:sz w:val="24"/>
                <w:highlight w:val="none"/>
              </w:rPr>
            </w:pPr>
            <w:r>
              <w:rPr>
                <w:rFonts w:hint="eastAsia"/>
                <w:color w:val="auto"/>
                <w:sz w:val="24"/>
                <w:highlight w:val="none"/>
              </w:rPr>
              <w:t xml:space="preserve">5.塑料材质商品包装上呈现的印刷颜色不得超过6色；</w:t>
            </w:r>
            <w:r/>
          </w:p>
          <w:p>
            <w:pPr>
              <w:rPr>
                <w:color w:val="auto"/>
                <w:sz w:val="24"/>
                <w:highlight w:val="none"/>
              </w:rPr>
            </w:pPr>
            <w:r>
              <w:rPr>
                <w:rFonts w:hint="eastAsia"/>
                <w:color w:val="auto"/>
                <w:sz w:val="24"/>
                <w:highlight w:val="none"/>
              </w:rPr>
              <w:t xml:space="preserve">6.纸质商品包装应使用75%以上的可再生纤维原料生产；</w:t>
            </w:r>
            <w:r/>
          </w:p>
          <w:p>
            <w:pPr>
              <w:rPr>
                <w:color w:val="auto"/>
                <w:sz w:val="24"/>
                <w:highlight w:val="none"/>
              </w:rPr>
            </w:pPr>
            <w:r>
              <w:rPr>
                <w:rFonts w:hint="eastAsia"/>
                <w:color w:val="auto"/>
                <w:sz w:val="24"/>
                <w:highlight w:val="none"/>
              </w:rPr>
              <w:t xml:space="preserve">7.木质商品包装的原料应来源于可持续性森林。</w:t>
            </w:r>
            <w:r/>
          </w:p>
          <w:p>
            <w:pPr>
              <w:rPr>
                <w:color w:val="auto"/>
                <w:sz w:val="24"/>
                <w:highlight w:val="none"/>
              </w:rPr>
            </w:pPr>
            <w:r>
              <w:rPr>
                <w:rFonts w:hint="eastAsia"/>
                <w:color w:val="auto"/>
                <w:sz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color w:val="auto"/>
                <w:sz w:val="24"/>
                <w:highlight w:val="none"/>
              </w:rPr>
            </w:pPr>
            <w:r>
              <w:rPr>
                <w:rFonts w:hint="eastAsia"/>
                <w:color w:val="auto"/>
                <w:sz w:val="24"/>
                <w:highlight w:val="none"/>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指定现场</w:t>
            </w:r>
            <w:r/>
          </w:p>
        </w:tc>
        <w:tc>
          <w:tcPr>
            <w:tcW w:w="5170" w:type="dxa"/>
            <w:vAlign w:val="center"/>
            <w:textDirection w:val="lrTb"/>
            <w:noWrap w:val="false"/>
          </w:tcPr>
          <w:p>
            <w:pPr>
              <w:jc w:val="left"/>
              <w:rPr>
                <w:color w:val="auto"/>
                <w:sz w:val="24"/>
                <w:highlight w:val="none"/>
              </w:rPr>
            </w:pPr>
            <w:r>
              <w:rPr>
                <w:color w:val="auto"/>
                <w:sz w:val="24"/>
                <w:highlight w:val="none"/>
              </w:rPr>
            </w:r>
            <w:r/>
          </w:p>
        </w:tc>
      </w:tr>
      <w:tr>
        <w:trPr>
          <w:trHeight w:val="772"/>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运输特殊要求</w:t>
            </w:r>
            <w:r/>
          </w:p>
        </w:tc>
        <w:tc>
          <w:tcPr>
            <w:tcW w:w="5170" w:type="dxa"/>
            <w:vAlign w:val="center"/>
            <w:textDirection w:val="lrTb"/>
            <w:noWrap w:val="false"/>
          </w:tcPr>
          <w:p>
            <w:pPr>
              <w:rPr>
                <w:color w:val="auto"/>
                <w:sz w:val="24"/>
                <w:highlight w:val="none"/>
              </w:rPr>
            </w:pPr>
            <w:r>
              <w:rPr>
                <w:rFonts w:hint="eastAsia"/>
                <w:color w:val="auto"/>
                <w:sz w:val="24"/>
                <w:highlight w:val="none"/>
              </w:rPr>
              <w:t xml:space="preserve">1.货物验收合格、交付使用并提供所需单据的日期视为交货日期。</w:t>
            </w:r>
            <w:r/>
          </w:p>
          <w:p>
            <w:pPr>
              <w:pStyle w:val="697"/>
              <w:ind w:firstLine="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2.乙方在货物发运手续办理完毕后24小时内或货到48小时前通知甲方，以准备接货。（具体时间根据双方实际需求调整）</w:t>
            </w:r>
            <w:r/>
          </w:p>
          <w:p>
            <w:pPr>
              <w:rPr>
                <w:color w:val="auto"/>
                <w:sz w:val="24"/>
                <w:highlight w:val="none"/>
              </w:rPr>
            </w:pPr>
            <w:r>
              <w:rPr>
                <w:rFonts w:hint="eastAsia"/>
                <w:color w:val="auto"/>
                <w:sz w:val="24"/>
                <w:highlight w:val="none"/>
              </w:rPr>
              <w:t xml:space="preserve">3.乙方装运的货物不应超过合同规定的数量或重量。乙方应对超交数量或超重而产生的一切后果负责。</w:t>
            </w:r>
            <w:r/>
          </w:p>
          <w:p>
            <w:pPr>
              <w:pStyle w:val="697"/>
              <w:ind w:firstLine="0"/>
              <w:rPr>
                <w:color w:val="auto"/>
                <w:highlight w:val="none"/>
              </w:rPr>
            </w:pPr>
            <w:r>
              <w:rPr>
                <w:rFonts w:hint="eastAsia" w:ascii="Times New Roman" w:hAnsi="Times New Roman" w:eastAsia="宋体" w:cs="Times New Roman"/>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第7.3款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保险要求</w:t>
            </w:r>
            <w:r/>
          </w:p>
        </w:tc>
        <w:tc>
          <w:tcPr>
            <w:tcW w:w="5170" w:type="dxa"/>
            <w:vAlign w:val="center"/>
            <w:textDirection w:val="lrTb"/>
            <w:noWrap w:val="false"/>
          </w:tcPr>
          <w:p>
            <w:pPr>
              <w:rPr>
                <w:color w:val="auto"/>
                <w:sz w:val="24"/>
                <w:highlight w:val="none"/>
              </w:rPr>
            </w:pPr>
            <w:r>
              <w:rPr>
                <w:color w:val="auto"/>
                <w:sz w:val="24"/>
                <w:highlight w:val="none"/>
              </w:rPr>
              <w:t xml:space="preserve">货物交货前由乙方承担保险义务</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第8.2（1）项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质量保证期</w:t>
            </w:r>
            <w:r/>
          </w:p>
        </w:tc>
        <w:tc>
          <w:tcPr>
            <w:tcW w:w="5170" w:type="dxa"/>
            <w:vAlign w:val="center"/>
            <w:textDirection w:val="lrTb"/>
            <w:noWrap w:val="false"/>
          </w:tcPr>
          <w:p>
            <w:pPr>
              <w:pStyle w:val="690"/>
              <w:ind w:left="480" w:hanging="480"/>
              <w:jc w:val="both"/>
              <w:spacing w:before="120" w:beforeAutospacing="0" w:after="120" w:afterAutospacing="0"/>
              <w:rPr>
                <w:rFonts w:ascii="宋体" w:hAnsi="宋体"/>
                <w:color w:val="auto"/>
                <w:highlight w:val="none"/>
              </w:rPr>
            </w:pPr>
            <w:r>
              <w:rPr>
                <w:rFonts w:hint="eastAsia" w:ascii="宋体" w:hAnsi="宋体"/>
                <w:color w:val="auto"/>
                <w:highlight w:val="none"/>
              </w:rPr>
              <w:t xml:space="preserve">1.货物免费质保期</w:t>
            </w:r>
            <w:r>
              <w:rPr>
                <w:rFonts w:hint="eastAsia" w:ascii="宋体" w:hAnsi="宋体"/>
                <w:color w:val="auto"/>
                <w:highlight w:val="none"/>
                <w:u w:val="single"/>
              </w:rPr>
              <w:t xml:space="preserve"> </w:t>
            </w:r>
            <w:r>
              <w:rPr>
                <w:rFonts w:hint="eastAsia" w:ascii="宋体" w:hAnsi="宋体"/>
                <w:color w:val="auto"/>
                <w:highlight w:val="none"/>
                <w:u w:val="single"/>
                <w:lang w:val="en-US" w:eastAsia="zh-CN"/>
              </w:rPr>
              <w:t xml:space="preserve">1</w:t>
            </w:r>
            <w:r>
              <w:rPr>
                <w:rFonts w:hint="eastAsia" w:ascii="宋体" w:hAnsi="宋体"/>
                <w:color w:val="auto"/>
                <w:highlight w:val="none"/>
                <w:u w:val="single"/>
              </w:rPr>
              <w:t xml:space="preserve"> 年</w:t>
            </w:r>
            <w:r>
              <w:rPr>
                <w:rFonts w:hint="eastAsia" w:ascii="宋体" w:hAnsi="宋体"/>
                <w:color w:val="auto"/>
                <w:highlight w:val="none"/>
              </w:rPr>
              <w:t xml:space="preserve">。（</w:t>
            </w:r>
            <w:r>
              <w:rPr>
                <w:rFonts w:hint="eastAsia" w:ascii="宋体" w:hAnsi="宋体" w:cs="宋体"/>
                <w:color w:val="auto"/>
                <w:highlight w:val="none"/>
              </w:rPr>
              <w:t xml:space="preserve">自交货验收合格之日起计），因人为因素出现的故障不在免费保修范围内。超过保修期的机器设备，</w:t>
            </w:r>
            <w:r>
              <w:rPr>
                <w:rFonts w:hint="eastAsia" w:ascii="宋体" w:hAnsi="宋体" w:cs="宋体"/>
                <w:color w:val="auto"/>
                <w:highlight w:val="none"/>
                <w:lang w:eastAsia="zh-CN"/>
              </w:rPr>
              <w:t xml:space="preserve">终身维修</w:t>
            </w:r>
            <w:r>
              <w:rPr>
                <w:rFonts w:hint="eastAsia" w:ascii="宋体" w:hAnsi="宋体" w:cs="宋体"/>
                <w:color w:val="auto"/>
                <w:highlight w:val="none"/>
              </w:rPr>
              <w:t xml:space="preserve">，维修时只收部件成本费。</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第8.2（3）项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货物质量缺陷</w:t>
            </w:r>
            <w:r/>
          </w:p>
          <w:p>
            <w:pPr>
              <w:jc w:val="left"/>
              <w:rPr>
                <w:rFonts w:ascii="宋体" w:hAnsi="宋体"/>
                <w:color w:val="auto"/>
                <w:sz w:val="24"/>
                <w:highlight w:val="none"/>
              </w:rPr>
            </w:pPr>
            <w:r>
              <w:rPr>
                <w:rFonts w:hint="eastAsia" w:ascii="宋体" w:hAnsi="宋体"/>
                <w:color w:val="auto"/>
                <w:sz w:val="24"/>
                <w:highlight w:val="none"/>
              </w:rPr>
              <w:t xml:space="preserve">响应时间</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 如在使用过程中发生质量问题，乙方在接到甲方通知后在</w:t>
            </w:r>
            <w:r>
              <w:rPr>
                <w:rFonts w:hint="eastAsia" w:ascii="宋体" w:hAnsi="宋体"/>
                <w:color w:val="auto"/>
                <w:sz w:val="24"/>
                <w:highlight w:val="none"/>
                <w:u w:val="single"/>
              </w:rPr>
              <w:t xml:space="preserve">_</w:t>
            </w:r>
            <w:r>
              <w:rPr>
                <w:rFonts w:hint="eastAsia" w:ascii="宋体" w:hAnsi="宋体"/>
                <w:color w:val="auto"/>
                <w:sz w:val="24"/>
                <w:highlight w:val="none"/>
                <w:u w:val="single"/>
                <w:lang w:val="en-US" w:eastAsia="zh-CN"/>
              </w:rPr>
              <w:t xml:space="preserve">4</w:t>
            </w:r>
            <w:r>
              <w:rPr>
                <w:rFonts w:hint="eastAsia" w:ascii="宋体" w:hAnsi="宋体"/>
                <w:color w:val="auto"/>
                <w:sz w:val="24"/>
                <w:highlight w:val="none"/>
                <w:u w:val="single"/>
              </w:rPr>
              <w:t xml:space="preserve">_</w:t>
            </w:r>
            <w:r>
              <w:rPr>
                <w:rFonts w:hint="eastAsia" w:ascii="宋体" w:hAnsi="宋体"/>
                <w:color w:val="auto"/>
                <w:sz w:val="24"/>
                <w:highlight w:val="none"/>
              </w:rPr>
              <w:t xml:space="preserve">小时内到达甲方现场。</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hint="eastAsia" w:ascii="宋体" w:hAnsi="宋体"/>
                <w:color w:val="auto"/>
                <w:sz w:val="24"/>
                <w:highlight w:val="none"/>
              </w:rPr>
            </w:pPr>
            <w:r>
              <w:rPr>
                <w:rFonts w:hint="eastAsia" w:ascii="宋体" w:hAnsi="宋体"/>
                <w:color w:val="auto"/>
                <w:sz w:val="24"/>
                <w:highlight w:val="none"/>
              </w:rPr>
              <w:t xml:space="preserve">第8款补充</w:t>
            </w:r>
            <w:r/>
          </w:p>
        </w:tc>
        <w:tc>
          <w:tcPr>
            <w:tcW w:w="1789" w:type="dxa"/>
            <w:vAlign w:val="center"/>
            <w:textDirection w:val="lrTb"/>
            <w:noWrap w:val="false"/>
          </w:tcPr>
          <w:p>
            <w:pPr>
              <w:jc w:val="left"/>
              <w:rPr>
                <w:rFonts w:hint="eastAsia" w:ascii="宋体" w:hAnsi="宋体"/>
                <w:color w:val="auto"/>
                <w:sz w:val="24"/>
                <w:highlight w:val="none"/>
              </w:rPr>
            </w:pPr>
            <w:r>
              <w:rPr>
                <w:rFonts w:hint="eastAsia" w:ascii="宋体" w:hAnsi="宋体"/>
                <w:color w:val="auto"/>
                <w:sz w:val="24"/>
                <w:highlight w:val="none"/>
              </w:rPr>
              <w:t xml:space="preserve">质量保证要求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在质保期内，乙方应对货物出现的质量及安全问题负责处理解决并承担一切费用（因甲方不当使用的除外）。</w:t>
            </w:r>
            <w:r/>
          </w:p>
          <w:p>
            <w:pPr>
              <w:jc w:val="left"/>
              <w:rPr>
                <w:rFonts w:ascii="宋体" w:hAnsi="宋体"/>
                <w:color w:val="auto"/>
                <w:sz w:val="24"/>
                <w:highlight w:val="none"/>
              </w:rPr>
            </w:pPr>
            <w:r>
              <w:rPr>
                <w:rFonts w:hint="eastAsia" w:ascii="宋体" w:hAnsi="宋体"/>
                <w:color w:val="auto"/>
                <w:sz w:val="24"/>
                <w:highlight w:val="none"/>
              </w:rPr>
              <w:t xml:space="preserve">2.乙方应按照国家有关法律法规规章和“三包”规定以及招标文件售后服务要求及投标文件售后服务承诺提供售后服务。</w:t>
            </w:r>
            <w:r/>
          </w:p>
          <w:p>
            <w:pPr>
              <w:jc w:val="left"/>
              <w:rPr>
                <w:rFonts w:ascii="宋体" w:hAnsi="宋体"/>
                <w:color w:val="auto"/>
                <w:sz w:val="24"/>
                <w:highlight w:val="none"/>
              </w:rPr>
            </w:pPr>
            <w:r>
              <w:rPr>
                <w:rFonts w:hint="eastAsia" w:ascii="宋体" w:hAnsi="宋体"/>
                <w:color w:val="auto"/>
                <w:sz w:val="24"/>
                <w:highlight w:val="none"/>
              </w:rPr>
              <w:t xml:space="preserve">3.所有货物保修服务方式均为乙方上门保修，由乙方派员到货物使用现场维修，所产生的一切费用由乙方承担（双方视项目情况调整）。</w:t>
            </w:r>
            <w:r/>
          </w:p>
          <w:p>
            <w:pPr>
              <w:jc w:val="left"/>
              <w:rPr>
                <w:rFonts w:ascii="宋体" w:hAnsi="宋体"/>
                <w:color w:val="auto"/>
                <w:sz w:val="24"/>
                <w:highlight w:val="none"/>
              </w:rPr>
            </w:pPr>
            <w:r>
              <w:rPr>
                <w:rFonts w:hint="eastAsia" w:ascii="宋体" w:hAnsi="宋体"/>
                <w:color w:val="auto"/>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rPr>
                <w:rFonts w:ascii="宋体" w:hAnsi="宋体"/>
                <w:color w:val="auto"/>
                <w:sz w:val="24"/>
                <w:highlight w:val="none"/>
              </w:rPr>
            </w:pPr>
            <w:r>
              <w:rPr>
                <w:rFonts w:hint="eastAsia" w:ascii="宋体" w:hAnsi="宋体"/>
                <w:color w:val="auto"/>
                <w:sz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rPr>
                <w:rFonts w:ascii="宋体" w:hAnsi="宋体"/>
                <w:color w:val="auto"/>
                <w:sz w:val="24"/>
                <w:highlight w:val="none"/>
              </w:rPr>
            </w:pPr>
            <w:r>
              <w:rPr>
                <w:rFonts w:hint="eastAsia" w:ascii="宋体" w:hAnsi="宋体"/>
                <w:color w:val="auto"/>
                <w:sz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90"/>
              <w:ind w:left="480" w:hanging="480"/>
              <w:spacing w:before="120" w:beforeAutospacing="0" w:after="120" w:afterAutospacing="0"/>
              <w:rPr>
                <w:rFonts w:hint="eastAsia" w:ascii="宋体" w:hAnsi="宋体"/>
                <w:color w:val="auto"/>
                <w:highlight w:val="none"/>
              </w:rPr>
            </w:pPr>
            <w:r>
              <w:rPr>
                <w:rFonts w:hint="eastAsia" w:ascii="宋体" w:hAnsi="宋体"/>
                <w:color w:val="auto"/>
                <w:highlight w:val="none"/>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W w:w="156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第二节</w:t>
            </w:r>
            <w:r/>
          </w:p>
          <w:p>
            <w:pPr>
              <w:jc w:val="center"/>
              <w:spacing w:line="400" w:lineRule="exact"/>
              <w:widowControl/>
              <w:rPr>
                <w:rFonts w:ascii="华文楷体" w:hAnsi="华文楷体" w:eastAsia="华文楷体" w:cs="华文楷体"/>
                <w:color w:val="auto"/>
                <w:sz w:val="24"/>
                <w:highlight w:val="none"/>
              </w:rPr>
            </w:pPr>
            <w:r>
              <w:rPr>
                <w:rFonts w:hint="eastAsia" w:ascii="宋体" w:hAnsi="宋体" w:cs="宋体"/>
                <w:color w:val="auto"/>
                <w:sz w:val="24"/>
                <w:highlight w:val="none"/>
              </w:rPr>
              <w:t xml:space="preserve">第11.1款</w:t>
            </w:r>
            <w:r/>
          </w:p>
        </w:tc>
        <w:tc>
          <w:tcPr>
            <w:tcW w:w="1789"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其他应当保密的信息</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第12.2款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合同价款支付时间及要求</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1.合同款项的支付方式及进度安排：</w:t>
            </w:r>
            <w:r/>
          </w:p>
          <w:p>
            <w:pPr>
              <w:jc w:val="left"/>
              <w:rPr>
                <w:rFonts w:ascii="宋体" w:hAnsi="宋体"/>
                <w:color w:val="auto"/>
                <w:sz w:val="24"/>
                <w:highlight w:val="none"/>
              </w:rPr>
            </w:pPr>
            <w:r>
              <w:rPr>
                <w:rFonts w:hint="eastAsia" w:ascii="宋体" w:hAnsi="宋体"/>
                <w:color w:val="auto"/>
                <w:sz w:val="24"/>
                <w:highlight w:val="none"/>
              </w:rPr>
              <w:t xml:space="preserve">①自合同签订生效之日起，收到乙方发票10个工作日内，甲方向乙方支付合同总价的</w:t>
            </w:r>
            <w:r>
              <w:rPr>
                <w:rFonts w:hint="eastAsia" w:ascii="宋体" w:hAnsi="宋体"/>
                <w:color w:val="auto"/>
                <w:sz w:val="24"/>
                <w:highlight w:val="none"/>
                <w:u w:val="single"/>
                <w:lang w:val="en-US" w:eastAsia="zh-CN"/>
              </w:rPr>
              <w:t xml:space="preserve"> 30% </w:t>
            </w:r>
            <w:r>
              <w:rPr>
                <w:rFonts w:hint="eastAsia" w:ascii="宋体" w:hAnsi="宋体"/>
                <w:color w:val="auto"/>
                <w:sz w:val="24"/>
                <w:highlight w:val="none"/>
              </w:rPr>
              <w:t xml:space="preserve">款项作为预付款；</w:t>
            </w:r>
            <w:r/>
          </w:p>
          <w:p>
            <w:pPr>
              <w:jc w:val="left"/>
              <w:rPr>
                <w:rFonts w:ascii="宋体" w:hAnsi="宋体"/>
                <w:color w:val="auto"/>
                <w:sz w:val="24"/>
                <w:highlight w:val="none"/>
              </w:rPr>
            </w:pPr>
            <w:r>
              <w:rPr>
                <w:rFonts w:hint="eastAsia" w:ascii="宋体" w:hAnsi="宋体"/>
                <w:color w:val="auto"/>
                <w:sz w:val="24"/>
                <w:highlight w:val="none"/>
              </w:rPr>
              <w:t xml:space="preserve">②所有货物安装完毕，甲方组织验收，验收合格后收到乙方发票10个工作日内甲方向乙方支付至合同总价的</w:t>
            </w:r>
            <w:r>
              <w:rPr>
                <w:rFonts w:hint="eastAsia" w:ascii="宋体" w:hAnsi="宋体"/>
                <w:color w:val="auto"/>
                <w:sz w:val="24"/>
                <w:highlight w:val="none"/>
                <w:u w:val="single"/>
                <w:lang w:val="en-US" w:eastAsia="zh-CN"/>
              </w:rPr>
              <w:t xml:space="preserve"> 95% </w:t>
            </w:r>
            <w:r>
              <w:rPr>
                <w:rFonts w:hint="eastAsia" w:ascii="宋体" w:hAnsi="宋体"/>
                <w:color w:val="auto"/>
                <w:sz w:val="24"/>
                <w:highlight w:val="none"/>
              </w:rPr>
              <w:t xml:space="preserve">款项；</w:t>
            </w:r>
            <w:r/>
          </w:p>
          <w:p>
            <w:pPr>
              <w:jc w:val="left"/>
              <w:rPr>
                <w:rFonts w:hint="eastAsia" w:ascii="宋体" w:hAnsi="宋体"/>
                <w:color w:val="auto"/>
                <w:sz w:val="24"/>
                <w:highlight w:val="yellow"/>
              </w:rPr>
            </w:pPr>
            <w:r>
              <w:rPr>
                <w:rFonts w:hint="eastAsia" w:ascii="宋体" w:hAnsi="宋体"/>
                <w:color w:val="auto"/>
                <w:sz w:val="24"/>
                <w:highlight w:val="yellow"/>
              </w:rPr>
              <w:t xml:space="preserve">③验收合格且项目运行满</w:t>
            </w:r>
            <w:r>
              <w:rPr>
                <w:rFonts w:hint="eastAsia" w:ascii="宋体" w:hAnsi="宋体"/>
                <w:color w:val="auto"/>
                <w:sz w:val="24"/>
                <w:highlight w:val="yellow"/>
                <w:u w:val="single"/>
                <w:lang w:val="en-US" w:eastAsia="zh-CN"/>
              </w:rPr>
              <w:t xml:space="preserve"> 12 </w:t>
            </w:r>
            <w:r>
              <w:rPr>
                <w:rFonts w:hint="eastAsia" w:ascii="宋体" w:hAnsi="宋体"/>
                <w:color w:val="auto"/>
                <w:sz w:val="24"/>
                <w:highlight w:val="yellow"/>
              </w:rPr>
              <w:t xml:space="preserve">个月后，</w:t>
            </w:r>
            <w:r>
              <w:rPr>
                <w:rFonts w:hint="eastAsia" w:ascii="宋体" w:hAnsi="宋体"/>
                <w:color w:val="auto"/>
                <w:sz w:val="24"/>
                <w:highlight w:val="yellow"/>
                <w:lang w:val="en-US" w:eastAsia="zh-CN"/>
              </w:rPr>
              <w:t xml:space="preserve">甲方</w:t>
            </w:r>
            <w:r>
              <w:rPr>
                <w:rFonts w:hint="eastAsia" w:ascii="宋体" w:hAnsi="宋体"/>
                <w:color w:val="auto"/>
                <w:sz w:val="24"/>
                <w:highlight w:val="yellow"/>
              </w:rPr>
              <w:t xml:space="preserve">收到乙方发票10个工作日内甲方付清货款。</w:t>
            </w:r>
            <w:r/>
          </w:p>
          <w:p>
            <w:pPr>
              <w:jc w:val="left"/>
              <w:rPr>
                <w:color w:val="auto"/>
                <w:highlight w:val="none"/>
              </w:rPr>
            </w:pPr>
            <w:r>
              <w:rPr>
                <w:rFonts w:hint="eastAsia" w:ascii="宋体" w:hAnsi="宋体"/>
                <w:color w:val="auto"/>
                <w:sz w:val="24"/>
                <w:highlight w:val="none"/>
              </w:rPr>
              <w:t xml:space="preserve">（具体验收流程双方可视实际情况调整）</w:t>
            </w:r>
            <w:r/>
          </w:p>
          <w:p>
            <w:pPr>
              <w:jc w:val="left"/>
              <w:rPr>
                <w:rFonts w:ascii="宋体" w:hAnsi="宋体"/>
                <w:color w:val="auto"/>
                <w:sz w:val="24"/>
                <w:highlight w:val="none"/>
              </w:rPr>
            </w:pPr>
            <w:r>
              <w:rPr>
                <w:rFonts w:hint="eastAsia" w:ascii="宋体" w:hAnsi="宋体"/>
                <w:color w:val="auto"/>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rPr>
                <w:rFonts w:ascii="宋体" w:hAnsi="宋体"/>
                <w:color w:val="auto"/>
                <w:sz w:val="24"/>
                <w:highlight w:val="none"/>
              </w:rPr>
            </w:pPr>
            <w:r>
              <w:rPr>
                <w:rFonts w:hint="eastAsia" w:ascii="宋体" w:hAnsi="宋体"/>
                <w:color w:val="auto"/>
                <w:sz w:val="24"/>
                <w:highlight w:val="none"/>
              </w:rPr>
              <w:t xml:space="preserve">(1) 发票；</w:t>
            </w:r>
            <w:r/>
          </w:p>
          <w:p>
            <w:pPr>
              <w:jc w:val="left"/>
              <w:rPr>
                <w:rFonts w:ascii="宋体" w:hAnsi="宋体"/>
                <w:color w:val="auto"/>
                <w:sz w:val="24"/>
                <w:highlight w:val="none"/>
              </w:rPr>
            </w:pPr>
            <w:r>
              <w:rPr>
                <w:rFonts w:hint="eastAsia" w:ascii="宋体" w:hAnsi="宋体"/>
                <w:color w:val="auto"/>
                <w:sz w:val="24"/>
                <w:highlight w:val="none"/>
              </w:rPr>
              <w:t xml:space="preserve">(2) 制造厂家出具的质量检验证书等；</w:t>
            </w:r>
            <w:r/>
          </w:p>
          <w:p>
            <w:pPr>
              <w:jc w:val="left"/>
              <w:rPr>
                <w:rFonts w:ascii="宋体" w:hAnsi="宋体"/>
                <w:color w:val="auto"/>
                <w:sz w:val="24"/>
                <w:highlight w:val="none"/>
              </w:rPr>
            </w:pPr>
            <w:r>
              <w:rPr>
                <w:rFonts w:hint="eastAsia" w:ascii="宋体" w:hAnsi="宋体"/>
                <w:color w:val="auto"/>
                <w:sz w:val="24"/>
                <w:highlight w:val="none"/>
              </w:rPr>
              <w:t xml:space="preserve">(3) 装箱单；</w:t>
            </w:r>
            <w:r/>
          </w:p>
          <w:p>
            <w:pPr>
              <w:jc w:val="left"/>
              <w:rPr>
                <w:color w:val="auto"/>
                <w:sz w:val="24"/>
                <w:highlight w:val="none"/>
              </w:rPr>
            </w:pPr>
            <w:r>
              <w:rPr>
                <w:rFonts w:hint="eastAsia" w:ascii="宋体" w:hAnsi="宋体"/>
                <w:color w:val="auto"/>
                <w:sz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第13.2款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履约保证金不予退还的情形</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除不可抗力情况外，投标人出现下列情形之一的，其履约保证金，招标人将视情节决定不予退还或部分不予退还。</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（1）中标人无正当理由拒绝签订合同的，或者在签订合同时向采购人提出附加条件或者更改合同实质性内容要求的；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（2）中标人不履行与采购人订立的合同的；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（3）中标人所供货物或服务不符合招标文件规定要求的；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（4）中标人采取欺骗、弄虚作假方式投标的或与</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投标人串通投标的；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（5）中标人将合同内容转包、违法分包的；</w:t>
            </w:r>
            <w:r/>
          </w:p>
          <w:p>
            <w:pPr>
              <w:spacing w:line="360" w:lineRule="auto"/>
              <w:rPr>
                <w:rFonts w:ascii="宋体" w:hAnsi="宋体"/>
                <w:color w:val="auto"/>
                <w:sz w:val="24"/>
                <w:highlight w:val="none"/>
              </w:rPr>
            </w:pPr>
            <w:r>
              <w:rPr>
                <w:rFonts w:hint="eastAsia" w:ascii="宋体" w:hAnsi="宋体" w:cs="宋体"/>
                <w:color w:val="auto"/>
                <w:sz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第13.3款</w:t>
            </w:r>
            <w:r/>
          </w:p>
        </w:tc>
        <w:tc>
          <w:tcPr>
            <w:tcW w:w="1789" w:type="dxa"/>
            <w:vAlign w:val="center"/>
            <w:textDirection w:val="lrTb"/>
            <w:noWrap w:val="false"/>
          </w:tcPr>
          <w:p>
            <w:pPr>
              <w:jc w:val="left"/>
              <w:rPr>
                <w:rFonts w:ascii="宋体" w:hAnsi="宋体" w:cs="宋体"/>
                <w:color w:val="auto"/>
                <w:sz w:val="24"/>
                <w:highlight w:val="none"/>
              </w:rPr>
            </w:pPr>
            <w:r>
              <w:rPr>
                <w:rFonts w:hint="eastAsia" w:ascii="宋体" w:hAnsi="宋体" w:cs="宋体"/>
                <w:color w:val="auto"/>
                <w:sz w:val="24"/>
                <w:highlight w:val="none"/>
              </w:rPr>
              <w:t xml:space="preserve">履约保证金退还时间及逾期退还的违约金</w:t>
            </w:r>
            <w:r/>
          </w:p>
        </w:tc>
        <w:tc>
          <w:tcPr>
            <w:tcW w:w="5170" w:type="dxa"/>
            <w:vAlign w:val="center"/>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1、合同履行结束后，甲方应及时退还交纳的履约保证金。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2、退还方式：退还至投标人缴纳履约保证金的账户。如为保函，在到期时自行失效。</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3、退还时间：验收合格且甲方收到发票后30日内。</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4、退还条件：按合同要求全部履约完成并经采购人验收合格，且采购人收到中标人出具的发票。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第14.1（3）项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运行监督、维修期限</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84"/>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第14.1（5）项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货物回收的约定</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第14.1（6）项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乙方提供的其他服务</w:t>
            </w:r>
            <w:r/>
          </w:p>
        </w:tc>
        <w:tc>
          <w:tcPr>
            <w:tcW w:w="517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修理、重</w:t>
            </w:r>
            <w:r>
              <w:rPr>
                <w:rFonts w:hint="eastAsia" w:ascii="宋体" w:hAnsi="宋体"/>
                <w:color w:val="auto"/>
                <w:sz w:val="24"/>
                <w:highlight w:val="none"/>
                <w:lang w:eastAsia="zh-CN"/>
              </w:rPr>
              <w:t xml:space="preserve">做</w:t>
            </w:r>
            <w:r>
              <w:rPr>
                <w:rFonts w:hint="eastAsia" w:ascii="宋体" w:hAnsi="宋体"/>
                <w:color w:val="auto"/>
                <w:sz w:val="24"/>
                <w:highlight w:val="none"/>
              </w:rPr>
              <w:t xml:space="preserve">、更换相关具体规定</w:t>
            </w:r>
            <w:r/>
          </w:p>
        </w:tc>
        <w:tc>
          <w:tcPr>
            <w:tcW w:w="5170" w:type="dxa"/>
            <w:vAlign w:val="center"/>
            <w:textDirection w:val="lrTb"/>
            <w:noWrap w:val="false"/>
          </w:tcPr>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详见合同通用条款8.2条款、合同专用条款第二节第8款补充条款及合同专用条款中索赔条款。</w:t>
            </w:r>
            <w:r/>
          </w:p>
          <w:p>
            <w:pPr>
              <w:numPr>
                <w:ilvl w:val="0"/>
                <w:numId w:val="9"/>
              </w:numPr>
              <w:jc w:val="left"/>
              <w:rPr>
                <w:rFonts w:ascii="宋体" w:hAnsi="宋体"/>
                <w:color w:val="auto"/>
                <w:sz w:val="24"/>
                <w:highlight w:val="none"/>
              </w:rPr>
            </w:pPr>
            <w:r>
              <w:rPr>
                <w:rFonts w:hint="eastAsia" w:ascii="宋体" w:hAnsi="宋体"/>
                <w:color w:val="auto"/>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第15.2（2）项</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迟延交货赔偿费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1.乙方应按照“开标（报价）一览表”中规定的交货期或承诺交货和提供服务，并交付甲方验收使用。</w:t>
            </w:r>
            <w:r/>
          </w:p>
          <w:p>
            <w:pPr>
              <w:jc w:val="left"/>
              <w:rPr>
                <w:rFonts w:ascii="宋体" w:hAnsi="宋体"/>
                <w:color w:val="auto"/>
                <w:sz w:val="24"/>
                <w:highlight w:val="none"/>
              </w:rPr>
            </w:pPr>
            <w:r>
              <w:rPr>
                <w:rFonts w:hint="eastAsia" w:ascii="宋体" w:hAnsi="宋体"/>
                <w:color w:val="auto"/>
                <w:sz w:val="24"/>
                <w:highlight w:val="none"/>
              </w:rPr>
              <w:t xml:space="preserve">2.如果乙方无正当理由拖延交货，将受到以下制裁：加收误期赔偿或终止合同。</w:t>
            </w:r>
            <w:r/>
          </w:p>
          <w:p>
            <w:pPr>
              <w:jc w:val="left"/>
              <w:rPr>
                <w:rFonts w:ascii="宋体" w:hAnsi="宋体"/>
                <w:color w:val="auto"/>
                <w:sz w:val="24"/>
                <w:highlight w:val="none"/>
              </w:rPr>
            </w:pPr>
            <w:r>
              <w:rPr>
                <w:rFonts w:hint="eastAsia" w:ascii="宋体" w:hAnsi="宋体"/>
                <w:color w:val="auto"/>
                <w:sz w:val="24"/>
                <w:highlight w:val="none"/>
              </w:rPr>
              <w:t xml:space="preserve">3. 乙方逾期交付货物的，乙方应按逾期交货总额每日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向甲方支付违约金，由甲方从待付货款中扣除。逾期超过约定日期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个工作日不能交货的，甲方可解除本合同。乙方因逾期交货或因其他违约行为导致甲方解除合同的，乙方应向甲方支付合同总值</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的违约金，如造成甲方损失超过违约金的，超出部分由乙方继续承担赔偿责任。 </w:t>
            </w:r>
            <w:r/>
          </w:p>
          <w:p>
            <w:pPr>
              <w:jc w:val="left"/>
              <w:rPr>
                <w:rFonts w:ascii="宋体" w:hAnsi="宋体"/>
                <w:color w:val="auto"/>
                <w:sz w:val="24"/>
                <w:highlight w:val="none"/>
              </w:rPr>
            </w:pPr>
            <w:r>
              <w:rPr>
                <w:rFonts w:hint="eastAsia" w:ascii="宋体" w:hAnsi="宋体"/>
                <w:color w:val="auto"/>
                <w:sz w:val="24"/>
                <w:highlight w:val="none"/>
              </w:rPr>
              <w:t xml:space="preserve">4.如乙方不能交付货物，或者有违法转包他人情形，乙方应向甲方支付合同总价</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的滞纳金。</w:t>
            </w:r>
            <w:r/>
          </w:p>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736"/>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第15.3款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逾期付款利息</w:t>
            </w:r>
            <w:r/>
          </w:p>
        </w:tc>
        <w:tc>
          <w:tcPr>
            <w:tcW w:w="5170" w:type="dxa"/>
            <w:vAlign w:val="center"/>
            <w:textDirection w:val="lrTb"/>
            <w:noWrap w:val="false"/>
          </w:tcPr>
          <w:p>
            <w:pPr>
              <w:pStyle w:val="690"/>
              <w:ind w:left="410" w:hanging="410"/>
              <w:jc w:val="both"/>
              <w:spacing w:before="120" w:beforeAutospacing="0" w:after="120" w:afterAutospacing="0"/>
              <w:rPr>
                <w:color w:val="auto"/>
                <w:highlight w:val="none"/>
              </w:rPr>
            </w:pPr>
            <w:r>
              <w:rPr>
                <w:rFonts w:hint="eastAsia" w:ascii="宋体" w:hAnsi="宋体" w:cs="宋体"/>
                <w:color w:val="auto"/>
                <w:highlight w:val="none"/>
              </w:rPr>
              <w:t xml:space="preserve">1.甲方无正当理由拒收货物的，甲方向乙方偿付拒收货款总值</w:t>
            </w:r>
            <w:r>
              <w:rPr>
                <w:rFonts w:hint="eastAsia" w:ascii="宋体" w:hAnsi="宋体" w:cs="宋体"/>
                <w:color w:val="auto"/>
                <w:highlight w:val="none"/>
                <w:u w:val="single"/>
              </w:rPr>
              <w:t xml:space="preserve">    </w:t>
            </w:r>
            <w:r>
              <w:rPr>
                <w:rFonts w:hint="eastAsia" w:ascii="宋体" w:hAnsi="宋体" w:cs="宋体"/>
                <w:color w:val="auto"/>
                <w:highlight w:val="none"/>
              </w:rPr>
              <w:t xml:space="preserve">的违约金。</w:t>
            </w:r>
            <w:r/>
          </w:p>
          <w:p>
            <w:pPr>
              <w:pStyle w:val="690"/>
              <w:ind w:left="410" w:hanging="410"/>
              <w:jc w:val="both"/>
              <w:spacing w:before="120" w:beforeAutospacing="0" w:after="120" w:afterAutospacing="0"/>
              <w:rPr>
                <w:rFonts w:ascii="宋体" w:hAnsi="宋体"/>
                <w:color w:val="auto"/>
                <w:highlight w:val="none"/>
                <w:u w:val="single"/>
              </w:rPr>
            </w:pPr>
            <w:r>
              <w:rPr>
                <w:rFonts w:hint="eastAsia" w:ascii="宋体" w:hAnsi="宋体" w:cs="宋体"/>
                <w:color w:val="auto"/>
                <w:highlight w:val="none"/>
              </w:rPr>
              <w:t xml:space="preserve">2.甲方无故逾期验收和办理货款支付手续的,甲方应按逾期付款总额每日</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向乙方支付违约金。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color w:val="auto"/>
                <w:sz w:val="24"/>
                <w:highlight w:val="none"/>
                <w:u w:val="single"/>
              </w:rPr>
            </w:pPr>
            <w:r>
              <w:rPr>
                <w:rFonts w:ascii="宋体" w:hAnsi="宋体"/>
                <w:color w:val="auto"/>
                <w:sz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1.因本合同及合同有关事项发生的争议，由双方协商解决，协商不成时，按下列第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种方式解决：</w:t>
            </w:r>
            <w:r/>
          </w:p>
          <w:p>
            <w:pPr>
              <w:jc w:val="left"/>
              <w:rPr>
                <w:rFonts w:ascii="宋体" w:hAnsi="宋体"/>
                <w:color w:val="auto"/>
                <w:sz w:val="24"/>
                <w:highlight w:val="none"/>
              </w:rPr>
            </w:pPr>
            <w:r>
              <w:rPr>
                <w:rFonts w:hint="eastAsia" w:ascii="宋体" w:hAnsi="宋体"/>
                <w:color w:val="auto"/>
                <w:sz w:val="24"/>
                <w:highlight w:val="none"/>
              </w:rPr>
              <w:t xml:space="preserve">（1）向仲裁委员会申请仲裁，仲裁地点为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（2）向甲方所在地人民法院起诉。</w:t>
            </w:r>
            <w:r/>
          </w:p>
          <w:p>
            <w:pPr>
              <w:jc w:val="left"/>
              <w:rPr>
                <w:rFonts w:ascii="宋体" w:hAnsi="宋体"/>
                <w:color w:val="auto"/>
                <w:sz w:val="24"/>
                <w:highlight w:val="none"/>
              </w:rPr>
            </w:pPr>
            <w:r>
              <w:rPr>
                <w:rFonts w:hint="eastAsia" w:ascii="宋体" w:hAnsi="宋体"/>
                <w:color w:val="auto"/>
                <w:sz w:val="24"/>
                <w:highlight w:val="none"/>
              </w:rPr>
              <w:t xml:space="preserve">2. 纠纷解决办法</w:t>
            </w:r>
            <w:r/>
          </w:p>
          <w:p>
            <w:pPr>
              <w:jc w:val="left"/>
              <w:rPr>
                <w:rFonts w:ascii="宋体" w:hAnsi="宋体"/>
                <w:color w:val="auto"/>
                <w:sz w:val="24"/>
                <w:highlight w:val="none"/>
              </w:rPr>
            </w:pPr>
            <w:r>
              <w:rPr>
                <w:rFonts w:hint="eastAsia" w:ascii="宋体" w:hAnsi="宋体"/>
                <w:color w:val="auto"/>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第二节</w:t>
            </w:r>
            <w:r/>
          </w:p>
          <w:p>
            <w:pPr>
              <w:jc w:val="center"/>
              <w:rPr>
                <w:rFonts w:ascii="宋体" w:hAnsi="宋体"/>
                <w:color w:val="auto"/>
                <w:sz w:val="24"/>
                <w:highlight w:val="none"/>
              </w:rPr>
            </w:pPr>
            <w:r>
              <w:rPr>
                <w:rFonts w:hint="eastAsia" w:ascii="宋体" w:hAnsi="宋体"/>
                <w:color w:val="auto"/>
                <w:sz w:val="24"/>
                <w:highlight w:val="none"/>
              </w:rPr>
              <w:t xml:space="preserve">第23.1款</w:t>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bCs/>
                <w:color w:val="auto"/>
                <w:sz w:val="24"/>
                <w:highlight w:val="none"/>
              </w:rPr>
              <w:t xml:space="preserve">其他专用条款</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rPr>
                <w:rFonts w:ascii="宋体" w:hAnsi="宋体"/>
                <w:color w:val="auto"/>
                <w:sz w:val="24"/>
                <w:highlight w:val="none"/>
              </w:rPr>
            </w:pPr>
            <w:r>
              <w:rPr>
                <w:rFonts w:hint="eastAsia" w:ascii="宋体" w:hAnsi="宋体"/>
                <w:color w:val="auto"/>
                <w:sz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3.验收不合格的货物，乙方应在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rPr>
                <w:rFonts w:ascii="宋体" w:hAnsi="宋体"/>
                <w:color w:val="auto"/>
                <w:sz w:val="24"/>
                <w:highlight w:val="none"/>
              </w:rPr>
            </w:pPr>
            <w:r>
              <w:rPr>
                <w:rFonts w:hint="eastAsia" w:ascii="宋体" w:hAnsi="宋体"/>
                <w:color w:val="auto"/>
                <w:sz w:val="24"/>
                <w:highlight w:val="none"/>
              </w:rPr>
              <w:t xml:space="preserve">4.货物验收要求</w:t>
            </w:r>
            <w:r/>
          </w:p>
          <w:p>
            <w:pPr>
              <w:jc w:val="left"/>
              <w:rPr>
                <w:rFonts w:ascii="宋体" w:hAnsi="宋体"/>
                <w:color w:val="auto"/>
                <w:sz w:val="24"/>
                <w:highlight w:val="none"/>
              </w:rPr>
            </w:pPr>
            <w:r>
              <w:rPr>
                <w:rFonts w:hint="eastAsia" w:ascii="宋体" w:hAnsi="宋体"/>
                <w:color w:val="auto"/>
                <w:sz w:val="24"/>
                <w:highlight w:val="none"/>
              </w:rPr>
              <w:t xml:space="preserve">（1）依照招标文件要求对全部货物、型号、规格、数量、外型、外观、包装及资料、文件（如装箱单、保修单、随箱介质等）进行验收。</w:t>
            </w:r>
            <w:r/>
          </w:p>
          <w:p>
            <w:pPr>
              <w:jc w:val="left"/>
              <w:rPr>
                <w:rFonts w:ascii="宋体" w:hAnsi="宋体"/>
                <w:color w:val="auto"/>
                <w:sz w:val="24"/>
                <w:highlight w:val="none"/>
              </w:rPr>
            </w:pPr>
            <w:r>
              <w:rPr>
                <w:rFonts w:hint="eastAsia" w:ascii="宋体" w:hAnsi="宋体"/>
                <w:color w:val="auto"/>
                <w:sz w:val="24"/>
                <w:highlight w:val="none"/>
              </w:rPr>
              <w:t xml:space="preserve">（2）甲方与乙方对货物到货后共同进行开箱检查，出现损坏、数量不全或产品不对等问题时，由乙方负责解决。</w:t>
            </w:r>
            <w:r/>
          </w:p>
          <w:p>
            <w:pPr>
              <w:jc w:val="left"/>
              <w:rPr>
                <w:rFonts w:ascii="宋体" w:hAnsi="宋体"/>
                <w:color w:val="auto"/>
                <w:sz w:val="24"/>
                <w:highlight w:val="none"/>
              </w:rPr>
            </w:pPr>
            <w:r>
              <w:rPr>
                <w:rFonts w:hint="eastAsia" w:ascii="宋体" w:hAnsi="宋体"/>
                <w:color w:val="auto"/>
                <w:sz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rPr>
                <w:rFonts w:ascii="宋体" w:hAnsi="宋体"/>
                <w:color w:val="auto"/>
                <w:sz w:val="24"/>
                <w:highlight w:val="none"/>
              </w:rPr>
            </w:pPr>
            <w:r>
              <w:rPr>
                <w:rFonts w:hint="eastAsia" w:ascii="宋体" w:hAnsi="宋体"/>
                <w:color w:val="auto"/>
                <w:sz w:val="24"/>
                <w:highlight w:val="none"/>
              </w:rPr>
              <w:t xml:space="preserve">（4）乙方应按照本合同规定的时间、地点和方式向乙方交付货物。</w:t>
            </w:r>
            <w:r/>
          </w:p>
          <w:p>
            <w:pPr>
              <w:jc w:val="left"/>
              <w:rPr>
                <w:rFonts w:ascii="宋体" w:hAnsi="宋体"/>
                <w:color w:val="auto"/>
                <w:sz w:val="24"/>
                <w:highlight w:val="none"/>
              </w:rPr>
            </w:pPr>
            <w:r>
              <w:rPr>
                <w:rFonts w:hint="eastAsia" w:ascii="宋体" w:hAnsi="宋体"/>
                <w:color w:val="auto"/>
                <w:sz w:val="24"/>
                <w:highlight w:val="none"/>
              </w:rPr>
              <w:t xml:space="preserve">交货时间：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日前完成供货（安装）并交付使用。</w:t>
            </w:r>
            <w:r/>
          </w:p>
          <w:p>
            <w:pPr>
              <w:jc w:val="left"/>
              <w:rPr>
                <w:rFonts w:ascii="宋体" w:hAnsi="宋体"/>
                <w:color w:val="auto"/>
                <w:sz w:val="24"/>
                <w:highlight w:val="none"/>
              </w:rPr>
            </w:pPr>
            <w:r>
              <w:rPr>
                <w:rFonts w:hint="eastAsia" w:ascii="宋体" w:hAnsi="宋体"/>
                <w:color w:val="auto"/>
                <w:sz w:val="24"/>
                <w:highlight w:val="none"/>
              </w:rPr>
              <w:t xml:space="preserve">交货地点：</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jc w:val="left"/>
              <w:rPr>
                <w:rFonts w:ascii="宋体" w:hAnsi="宋体"/>
                <w:color w:val="auto"/>
                <w:sz w:val="24"/>
                <w:highlight w:val="none"/>
              </w:rPr>
            </w:pPr>
            <w:r>
              <w:rPr>
                <w:rFonts w:hint="eastAsia" w:ascii="宋体" w:hAnsi="宋体"/>
                <w:color w:val="auto"/>
                <w:sz w:val="24"/>
                <w:highlight w:val="none"/>
              </w:rPr>
              <w:t xml:space="preserve">（5）甲方应在全部货物到货安装完毕后的</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个月后，甲方组织对货物的质量及使用状况等进行最终验收。</w:t>
            </w:r>
            <w:r/>
          </w:p>
          <w:p>
            <w:pPr>
              <w:jc w:val="left"/>
              <w:rPr>
                <w:rFonts w:ascii="宋体" w:hAnsi="宋体"/>
                <w:color w:val="auto"/>
                <w:sz w:val="24"/>
                <w:highlight w:val="none"/>
              </w:rPr>
            </w:pPr>
            <w:r>
              <w:rPr>
                <w:rFonts w:hint="eastAsia" w:ascii="宋体" w:hAnsi="宋体"/>
                <w:color w:val="auto"/>
                <w:sz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jc w:val="left"/>
              <w:rPr>
                <w:rFonts w:ascii="宋体" w:hAnsi="宋体"/>
                <w:color w:val="auto"/>
                <w:sz w:val="24"/>
                <w:highlight w:val="none"/>
              </w:rPr>
            </w:pPr>
            <w:r>
              <w:rPr>
                <w:rFonts w:ascii="宋体" w:hAnsi="宋体"/>
                <w:color w:val="auto"/>
                <w:sz w:val="24"/>
                <w:highlight w:val="none"/>
              </w:rPr>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税费</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1.中国政府根据现行税法规定对甲方征收的与本合同有关的一切税费均由甲方负担（免税部分除外），招标文件另有规定的除外。</w:t>
            </w:r>
            <w:r/>
          </w:p>
          <w:p>
            <w:pPr>
              <w:jc w:val="left"/>
              <w:rPr>
                <w:rFonts w:ascii="宋体" w:hAnsi="宋体"/>
                <w:color w:val="auto"/>
                <w:sz w:val="24"/>
                <w:highlight w:val="none"/>
              </w:rPr>
            </w:pPr>
            <w:r>
              <w:rPr>
                <w:rFonts w:hint="eastAsia" w:ascii="宋体" w:hAnsi="宋体"/>
                <w:color w:val="auto"/>
                <w:sz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bCs/>
                <w:color w:val="auto"/>
                <w:sz w:val="24"/>
                <w:highlight w:val="none"/>
              </w:rPr>
            </w:pPr>
            <w:r>
              <w:rPr>
                <w:rFonts w:hint="eastAsia" w:ascii="宋体" w:hAnsi="宋体"/>
                <w:bCs/>
                <w:color w:val="auto"/>
                <w:sz w:val="24"/>
                <w:highlight w:val="none"/>
              </w:rPr>
              <w:t xml:space="preserve">伴随服务</w:t>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1.乙方应按照国家</w:t>
            </w:r>
            <w:r>
              <w:rPr>
                <w:rFonts w:hint="eastAsia" w:ascii="宋体" w:hAnsi="宋体"/>
                <w:b/>
                <w:color w:val="auto"/>
                <w:sz w:val="24"/>
                <w:highlight w:val="none"/>
              </w:rPr>
              <w:t xml:space="preserve">“新三包”</w:t>
            </w:r>
            <w:r>
              <w:rPr>
                <w:rFonts w:hint="eastAsia" w:ascii="宋体" w:hAnsi="宋体"/>
                <w:color w:val="auto"/>
                <w:sz w:val="24"/>
                <w:highlight w:val="none"/>
              </w:rPr>
              <w:t xml:space="preserve">规定和合同中所附的服务承诺提供服务。</w:t>
            </w:r>
            <w:r/>
          </w:p>
          <w:p>
            <w:pPr>
              <w:jc w:val="left"/>
              <w:rPr>
                <w:rFonts w:ascii="宋体" w:hAnsi="宋体"/>
                <w:color w:val="auto"/>
                <w:sz w:val="24"/>
                <w:highlight w:val="none"/>
              </w:rPr>
            </w:pPr>
            <w:r>
              <w:rPr>
                <w:rFonts w:hint="eastAsia" w:ascii="宋体" w:hAnsi="宋体"/>
                <w:color w:val="auto"/>
                <w:sz w:val="24"/>
                <w:highlight w:val="none"/>
              </w:rPr>
              <w:t xml:space="preserve">2.除第1条规定外，乙方还应提供下列服务：</w:t>
            </w:r>
            <w:r/>
          </w:p>
          <w:p>
            <w:pPr>
              <w:jc w:val="left"/>
              <w:rPr>
                <w:rFonts w:ascii="宋体" w:hAnsi="宋体"/>
                <w:b/>
                <w:color w:val="auto"/>
                <w:sz w:val="24"/>
                <w:highlight w:val="none"/>
              </w:rPr>
            </w:pPr>
            <w:r>
              <w:rPr>
                <w:rFonts w:hint="eastAsia" w:ascii="宋体" w:hAnsi="宋体"/>
                <w:b/>
                <w:color w:val="auto"/>
                <w:sz w:val="24"/>
                <w:highlight w:val="none"/>
              </w:rPr>
              <w:t xml:space="preserve"> (1) 招标文件中的“服务要求”所规定的服务内容以及投标文件承诺提供的其他服务内容；</w:t>
            </w:r>
            <w:r/>
          </w:p>
          <w:p>
            <w:pPr>
              <w:jc w:val="left"/>
              <w:rPr>
                <w:rFonts w:ascii="宋体" w:hAnsi="宋体"/>
                <w:color w:val="auto"/>
                <w:sz w:val="24"/>
                <w:highlight w:val="none"/>
              </w:rPr>
            </w:pPr>
            <w:r>
              <w:rPr>
                <w:rFonts w:hint="eastAsia" w:ascii="宋体" w:hAnsi="宋体"/>
                <w:color w:val="auto"/>
                <w:sz w:val="24"/>
                <w:highlight w:val="none"/>
              </w:rPr>
              <w:t xml:space="preserve"> (2) 负责货物的开孔，货物的现场安装；</w:t>
            </w:r>
            <w:r/>
          </w:p>
          <w:p>
            <w:pPr>
              <w:jc w:val="left"/>
              <w:rPr>
                <w:rFonts w:ascii="宋体" w:hAnsi="宋体"/>
                <w:color w:val="auto"/>
                <w:sz w:val="24"/>
                <w:highlight w:val="none"/>
              </w:rPr>
            </w:pPr>
            <w:r>
              <w:rPr>
                <w:rFonts w:hint="eastAsia" w:ascii="宋体" w:hAnsi="宋体"/>
                <w:color w:val="auto"/>
                <w:sz w:val="24"/>
                <w:highlight w:val="none"/>
              </w:rPr>
              <w:t xml:space="preserve"> (3) 提供货物组装和维修所需的工具；</w:t>
            </w:r>
            <w:r/>
          </w:p>
          <w:p>
            <w:pPr>
              <w:jc w:val="left"/>
              <w:rPr>
                <w:rFonts w:ascii="宋体" w:hAnsi="宋体"/>
                <w:color w:val="auto"/>
                <w:sz w:val="24"/>
                <w:highlight w:val="none"/>
              </w:rPr>
            </w:pPr>
            <w:r>
              <w:rPr>
                <w:rFonts w:hint="eastAsia" w:ascii="宋体" w:hAnsi="宋体"/>
                <w:color w:val="auto"/>
                <w:sz w:val="24"/>
                <w:highlight w:val="none"/>
              </w:rPr>
              <w:t xml:space="preserve"> (4) 在合同中乙方承诺的质保期限内对所提供货物正常使用实施监督、维修，但前提条件是该服务并不能免除乙方在质量保证期内应承担的义务；</w:t>
            </w:r>
            <w:r/>
          </w:p>
          <w:p>
            <w:pPr>
              <w:jc w:val="left"/>
              <w:rPr>
                <w:rFonts w:ascii="宋体" w:hAnsi="宋体"/>
                <w:color w:val="auto"/>
                <w:sz w:val="24"/>
                <w:highlight w:val="none"/>
              </w:rPr>
            </w:pPr>
            <w:r>
              <w:rPr>
                <w:rFonts w:hint="eastAsia" w:ascii="宋体" w:hAnsi="宋体"/>
                <w:color w:val="auto"/>
                <w:sz w:val="24"/>
                <w:highlight w:val="none"/>
              </w:rPr>
              <w:t xml:space="preserve"> (5) 在货物交货现场就货物的安装、启用、维护等对甲方人员进行培训。</w:t>
            </w:r>
            <w:r/>
          </w:p>
          <w:p>
            <w:pPr>
              <w:jc w:val="left"/>
              <w:rPr>
                <w:rFonts w:ascii="宋体" w:hAnsi="宋体"/>
                <w:color w:val="auto"/>
                <w:sz w:val="24"/>
                <w:highlight w:val="none"/>
              </w:rPr>
            </w:pPr>
            <w:r>
              <w:rPr>
                <w:rFonts w:hint="eastAsia" w:ascii="宋体" w:hAnsi="宋体"/>
                <w:color w:val="auto"/>
                <w:sz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索赔</w:t>
            </w:r>
            <w:r/>
          </w:p>
          <w:p>
            <w:pPr>
              <w:jc w:val="left"/>
              <w:rPr>
                <w:rFonts w:ascii="宋体" w:hAnsi="宋体"/>
                <w:color w:val="auto"/>
                <w:sz w:val="24"/>
                <w:highlight w:val="none"/>
              </w:rPr>
            </w:pPr>
            <w:r>
              <w:rPr>
                <w:rFonts w:ascii="宋体" w:hAnsi="宋体"/>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1.甲方有权根据当地质检部门出具的检验报告，向乙方提出索赔。</w:t>
            </w:r>
            <w:r/>
          </w:p>
          <w:p>
            <w:pPr>
              <w:jc w:val="left"/>
              <w:rPr>
                <w:rFonts w:ascii="宋体" w:hAnsi="宋体"/>
                <w:color w:val="auto"/>
                <w:sz w:val="24"/>
                <w:highlight w:val="none"/>
              </w:rPr>
            </w:pPr>
            <w:r>
              <w:rPr>
                <w:rFonts w:hint="eastAsia" w:ascii="宋体" w:hAnsi="宋体"/>
                <w:color w:val="auto"/>
                <w:sz w:val="24"/>
                <w:highlight w:val="none"/>
              </w:rPr>
              <w:t xml:space="preserve">2.根据合同规定的检验期和质量保证期内，如果乙方对甲方提出的索赔和差异负有责任，乙方应按照甲方同意的下列一种或多种方式解决索赔事宜：</w:t>
            </w:r>
            <w:r/>
          </w:p>
          <w:p>
            <w:pPr>
              <w:jc w:val="left"/>
              <w:rPr>
                <w:rFonts w:ascii="宋体" w:hAnsi="宋体"/>
                <w:color w:val="auto"/>
                <w:sz w:val="24"/>
                <w:highlight w:val="none"/>
              </w:rPr>
            </w:pPr>
            <w:r>
              <w:rPr>
                <w:rFonts w:hint="eastAsia" w:ascii="宋体" w:hAnsi="宋体"/>
                <w:color w:val="auto"/>
                <w:sz w:val="24"/>
                <w:highlight w:val="none"/>
              </w:rPr>
              <w:t xml:space="preserve"> (1) 乙方同意退货，并用合同中规定的货币将货款退还给甲方，并承担由此发生的一切损失和费用，包括利息、银行手续费、运费、保险费、检验费、仓储费、装卸费以及为保护退回货物所需的其它必要费用。</w:t>
            </w:r>
            <w:r/>
          </w:p>
          <w:p>
            <w:pPr>
              <w:jc w:val="left"/>
              <w:rPr>
                <w:rFonts w:ascii="宋体" w:hAnsi="宋体"/>
                <w:color w:val="auto"/>
                <w:sz w:val="24"/>
                <w:highlight w:val="none"/>
              </w:rPr>
            </w:pPr>
            <w:r>
              <w:rPr>
                <w:rFonts w:hint="eastAsia" w:ascii="宋体" w:hAnsi="宋体"/>
                <w:color w:val="auto"/>
                <w:sz w:val="24"/>
                <w:highlight w:val="none"/>
              </w:rPr>
              <w:t xml:space="preserve"> (2) 根据货物的低劣程度、损坏程度以及甲方所遭受损失的数额，乙方必须降低货物的价格。</w:t>
            </w:r>
            <w:r/>
          </w:p>
          <w:p>
            <w:pPr>
              <w:jc w:val="left"/>
              <w:rPr>
                <w:rFonts w:ascii="宋体" w:hAnsi="宋体"/>
                <w:color w:val="auto"/>
                <w:sz w:val="24"/>
                <w:highlight w:val="none"/>
              </w:rPr>
            </w:pPr>
            <w:r>
              <w:rPr>
                <w:rFonts w:hint="eastAsia" w:ascii="宋体" w:hAnsi="宋体"/>
                <w:color w:val="auto"/>
                <w:sz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rPr>
                <w:rFonts w:ascii="宋体" w:hAnsi="宋体"/>
                <w:color w:val="auto"/>
                <w:sz w:val="24"/>
                <w:highlight w:val="none"/>
              </w:rPr>
            </w:pPr>
            <w:r>
              <w:rPr>
                <w:rFonts w:hint="eastAsia" w:ascii="宋体" w:hAnsi="宋体"/>
                <w:color w:val="auto"/>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789"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合同生效</w:t>
            </w:r>
            <w:r>
              <w:rPr>
                <w:rFonts w:hint="eastAsia" w:ascii="宋体" w:hAnsi="宋体"/>
                <w:color w:val="auto"/>
                <w:sz w:val="24"/>
                <w:highlight w:val="none"/>
                <w:lang w:eastAsia="zh-CN"/>
              </w:rPr>
              <w:t xml:space="preserve">及其他</w:t>
            </w:r>
            <w:r/>
          </w:p>
          <w:p>
            <w:pPr>
              <w:jc w:val="left"/>
              <w:rPr>
                <w:rFonts w:ascii="宋体" w:hAnsi="宋体"/>
                <w:bCs/>
                <w:color w:val="auto"/>
                <w:sz w:val="24"/>
                <w:highlight w:val="none"/>
              </w:rPr>
            </w:pPr>
            <w:r>
              <w:rPr>
                <w:rFonts w:ascii="宋体" w:hAnsi="宋体"/>
                <w:bCs/>
                <w:color w:val="auto"/>
                <w:sz w:val="24"/>
                <w:highlight w:val="none"/>
              </w:rPr>
            </w:r>
            <w:r/>
          </w:p>
        </w:tc>
        <w:tc>
          <w:tcPr>
            <w:tcW w:w="517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1. 合同经甲方、乙方盖章后生效。</w:t>
            </w:r>
            <w:r/>
          </w:p>
          <w:p>
            <w:pPr>
              <w:jc w:val="left"/>
              <w:rPr>
                <w:rFonts w:ascii="宋体" w:hAnsi="宋体"/>
                <w:color w:val="auto"/>
                <w:sz w:val="24"/>
                <w:highlight w:val="none"/>
              </w:rPr>
            </w:pPr>
            <w:r>
              <w:rPr>
                <w:rFonts w:hint="eastAsia" w:ascii="宋体" w:hAnsi="宋体"/>
                <w:color w:val="auto"/>
                <w:sz w:val="24"/>
                <w:highlight w:val="none"/>
              </w:rPr>
              <w:t xml:space="preserve">2. 货物交付使用后所发生的合同纠纷，由甲方与乙方协商处理。</w:t>
            </w:r>
            <w:r/>
          </w:p>
          <w:p>
            <w:pPr>
              <w:jc w:val="left"/>
              <w:rPr>
                <w:rFonts w:ascii="宋体" w:hAnsi="宋体"/>
                <w:color w:val="auto"/>
                <w:sz w:val="24"/>
                <w:highlight w:val="none"/>
              </w:rPr>
            </w:pPr>
            <w:r>
              <w:rPr>
                <w:rFonts w:hint="eastAsia" w:ascii="宋体" w:hAnsi="宋体"/>
                <w:color w:val="auto"/>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rPr>
                <w:rFonts w:ascii="宋体" w:hAnsi="宋体"/>
                <w:color w:val="auto"/>
                <w:sz w:val="24"/>
                <w:highlight w:val="none"/>
              </w:rPr>
            </w:pPr>
            <w:r>
              <w:rPr>
                <w:rFonts w:hint="eastAsia" w:ascii="宋体" w:hAnsi="宋体"/>
                <w:color w:val="auto"/>
                <w:sz w:val="24"/>
                <w:highlight w:val="none"/>
              </w:rPr>
              <w:t xml:space="preserve">4.本合同应按照中华人民共和国的现行法律进行解释。本合同未尽事宜，遵照《民法典》、《政府采购法》等有关条文执行。</w:t>
            </w:r>
            <w:r/>
          </w:p>
        </w:tc>
      </w:tr>
    </w:tbl>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spacing w:before="120" w:beforeAutospacing="0" w:after="120" w:afterAutospacing="0" w:line="0" w:lineRule="atLeast"/>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keepLines w:val="0"/>
        <w:keepNext w:val="0"/>
        <w:pageBreakBefore w:val="0"/>
        <w:spacing w:before="120" w:beforeAutospacing="0" w:after="157" w:afterAutospacing="0" w:line="0" w:lineRule="atLeas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keepLines w:val="0"/>
        <w:keepNext w:val="0"/>
        <w:pageBreakBefore w:val="0"/>
        <w:spacing w:before="120" w:beforeAutospacing="0" w:after="157" w:afterAutospacing="0" w:line="0" w:lineRule="atLeast"/>
        <w:widowControl w:val="off"/>
        <w:rPr>
          <w:highlight w:val="none"/>
        </w:rPr>
      </w:pPr>
      <w:r/>
      <w:bookmarkStart w:id="229" w:name="_GoBack"/>
      <w:r/>
      <w:bookmarkEnd w:id="229"/>
      <w:r>
        <w:rPr>
          <w:rFonts w:hint="eastAsia" w:ascii="黑体" w:hAnsi="宋体" w:eastAsia="黑体" w:cs="黑体"/>
          <w:color w:val="000000"/>
          <w:sz w:val="44"/>
          <w:szCs w:val="44"/>
          <w:highlight w:val="none"/>
        </w:rPr>
        <w:t xml:space="preserve">第</w:t>
      </w:r>
      <w:bookmarkEnd w:id="182"/>
      <w:r>
        <w:rPr>
          <w:rFonts w:hint="eastAsia" w:ascii="黑体" w:hAnsi="宋体" w:eastAsia="黑体" w:cs="黑体"/>
          <w:color w:val="000000"/>
          <w:sz w:val="44"/>
          <w:szCs w:val="44"/>
          <w:highlight w:val="none"/>
        </w:rPr>
        <w:t xml:space="preserve">四章 采购需求</w:t>
      </w:r>
      <w:bookmarkEnd w:id="183"/>
      <w:r/>
      <w:bookmarkEnd w:id="184"/>
      <w:r/>
      <w:bookmarkEnd w:id="185"/>
      <w:r/>
      <w:bookmarkEnd w:id="186"/>
      <w:r/>
      <w:bookmarkEnd w:id="187"/>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sz w:val="24"/>
          <w:szCs w:val="24"/>
          <w:highlight w:val="none"/>
          <w:shd w:val="clear" w:color="auto" w:fill="auto"/>
        </w:rPr>
      </w:pPr>
      <w:r/>
      <w:bookmarkStart w:id="195" w:name="_Toc49090575"/>
      <w:r/>
      <w:bookmarkStart w:id="196" w:name="_Toc26554093"/>
      <w:r>
        <w:rPr>
          <w:rFonts w:hint="eastAsia" w:ascii="宋体" w:hAnsi="宋体" w:eastAsia="宋体" w:cs="宋体"/>
          <w:color w:val="000000"/>
          <w:sz w:val="24"/>
          <w:szCs w:val="24"/>
          <w:highlight w:val="none"/>
        </w:rPr>
        <w:t xml:space="preserve">项目属性:货物类项目</w:t>
      </w:r>
      <w:r>
        <w:rPr>
          <w:rFonts w:hint="eastAsia" w:ascii="宋体" w:hAnsi="宋体" w:eastAsia="宋体" w:cs="宋体"/>
          <w:color w:val="000000"/>
          <w:sz w:val="24"/>
          <w:szCs w:val="24"/>
          <w:highlight w:val="none"/>
          <w:shd w:val="clear" w:color="auto" w:fill="auto"/>
        </w:rPr>
        <w:t xml:space="preserve">。</w:t>
      </w:r>
      <w:bookmarkEnd w:id="195"/>
      <w:r/>
      <w:bookmarkEnd w:id="196"/>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采购需求包括拟采购的标的及其需要满足的技术、商务要求。</w:t>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color w:val="2e75b6" w:themeColor="accent1" w:themeShade="BF"/>
          <w:sz w:val="24"/>
          <w:szCs w:val="24"/>
          <w:highlight w:val="none"/>
        </w:rPr>
      </w:pPr>
      <w:r>
        <w:rPr>
          <w:rFonts w:hint="eastAsia" w:ascii="宋体" w:hAnsi="宋体" w:eastAsia="宋体" w:cs="宋体"/>
          <w:color w:val="2e75b6" w:themeColor="accent1" w:themeShade="BF"/>
          <w:sz w:val="24"/>
          <w:szCs w:val="24"/>
          <w:highlight w:val="none"/>
        </w:rPr>
        <w:t xml:space="preserve">（一）技术要求是指对采购标的功能和质量要求，包括性能、材料、结构、外观、安全，或者服务内容和标准等。</w:t>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color w:val="2e75b6" w:themeColor="accent1" w:themeShade="BF"/>
          <w:sz w:val="24"/>
          <w:szCs w:val="24"/>
          <w:highlight w:val="none"/>
        </w:rPr>
      </w:pPr>
      <w:r>
        <w:rPr>
          <w:rFonts w:hint="eastAsia" w:ascii="宋体" w:hAnsi="宋体" w:eastAsia="宋体" w:cs="宋体"/>
          <w:color w:val="2e75b6" w:themeColor="accent1" w:themeShade="BF"/>
          <w:sz w:val="24"/>
          <w:szCs w:val="24"/>
          <w:highlight w:val="none"/>
        </w:rPr>
        <w:t xml:space="preserve">（二）商务要求是指取得采购标的的时间、地点、财务和服务要求，包括交付（实施）的时间（期限）和地点（范围），付款条件（进度和方法），包装和运输，售后服务，保险等。</w:t>
      </w:r>
      <w:r/>
    </w:p>
    <w:p>
      <w:pPr>
        <w:pStyle w:val="690"/>
        <w:ind w:firstLine="482"/>
        <w:jc w:val="both"/>
        <w:keepLines w:val="0"/>
        <w:keepNext w:val="0"/>
        <w:pageBreakBefore w:val="0"/>
        <w:spacing w:beforeAutospacing="0" w:afterAutospacing="0" w:line="0" w:lineRule="atLeast"/>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）采购清单如下：</w:t>
      </w:r>
      <w:r/>
    </w:p>
    <w:tbl>
      <w:tblPr>
        <w:tblStyle w:val="691"/>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907"/>
        <w:gridCol w:w="5078"/>
        <w:gridCol w:w="1045"/>
        <w:gridCol w:w="1060"/>
      </w:tblGrid>
      <w:tr>
        <w:trPr>
          <w:jc w:val="center"/>
          <w:trHeight w:val="507"/>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包一</w:t>
            </w:r>
            <w:r/>
          </w:p>
        </w:tc>
      </w:tr>
      <w:tr>
        <w:trPr>
          <w:jc w:val="center"/>
          <w:trHeight w:val="467"/>
        </w:trPr>
        <w:tc>
          <w:tcPr>
            <w:tcW w:w="74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序号</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货物</w:t>
            </w:r>
            <w:r/>
          </w:p>
          <w:p>
            <w:pPr>
              <w:pStyle w:val="690"/>
              <w:jc w:val="center"/>
              <w:keepLines w:val="0"/>
              <w:keepNext w:val="0"/>
              <w:pageBreakBefore w:val="0"/>
              <w:spacing w:beforeAutospacing="0" w:afterAutospacing="0" w:line="240" w:lineRule="auto"/>
              <w:widowControl w:val="off"/>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名称</w:t>
            </w:r>
            <w:r/>
          </w:p>
        </w:tc>
        <w:tc>
          <w:tcPr>
            <w:tcW w:w="5078" w:type="dxa"/>
            <w:vAlign w:val="center"/>
            <w:textDirection w:val="lrTb"/>
            <w:noWrap w:val="false"/>
          </w:tcPr>
          <w:p>
            <w:pPr>
              <w:pStyle w:val="702"/>
              <w:ind w:firstLine="0"/>
              <w:keepLines w:val="0"/>
              <w:keepNext w:val="0"/>
              <w:pageBreakBefore w:val="0"/>
              <w:spacing w:line="240" w:lineRule="auto"/>
              <w:widowControl w:val="off"/>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 xml:space="preserve">详细参数</w:t>
            </w:r>
            <w:r/>
          </w:p>
        </w:tc>
        <w:tc>
          <w:tcPr>
            <w:tcW w:w="1045" w:type="dxa"/>
            <w:vAlign w:val="center"/>
            <w:textDirection w:val="lrTb"/>
            <w:noWrap w:val="false"/>
          </w:tcPr>
          <w:p>
            <w:pPr>
              <w:pStyle w:val="702"/>
              <w:ind w:firstLine="0"/>
              <w:keepLines w:val="0"/>
              <w:keepNext w:val="0"/>
              <w:pageBreakBefore w:val="0"/>
              <w:spacing w:line="240" w:lineRule="auto"/>
              <w:widowControl w:val="off"/>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 xml:space="preserve">数量</w:t>
            </w:r>
            <w:r/>
          </w:p>
        </w:tc>
        <w:tc>
          <w:tcPr>
            <w:tcW w:w="1060" w:type="dxa"/>
            <w:vAlign w:val="center"/>
            <w:textDirection w:val="lrTb"/>
            <w:noWrap w:val="false"/>
          </w:tcPr>
          <w:p>
            <w:pPr>
              <w:pStyle w:val="702"/>
              <w:ind w:firstLine="0"/>
              <w:keepLines w:val="0"/>
              <w:keepNext w:val="0"/>
              <w:pageBreakBefore w:val="0"/>
              <w:spacing w:line="240" w:lineRule="auto"/>
              <w:widowControl w:val="off"/>
              <w:rPr>
                <w:rFonts w:hint="eastAsia" w:ascii="宋体" w:hAnsi="宋体" w:eastAsia="宋体" w:cs="宋体"/>
                <w:b w:val="0"/>
                <w:bCs/>
                <w:color w:val="000000"/>
                <w:sz w:val="15"/>
                <w:szCs w:val="15"/>
                <w:highlight w:val="none"/>
                <w:vertAlign w:val="baseline"/>
                <w:lang w:eastAsia="zh-CN"/>
              </w:rPr>
            </w:pPr>
            <w:r>
              <w:rPr>
                <w:rFonts w:hint="eastAsia"/>
                <w:b w:val="0"/>
                <w:bCs/>
                <w:sz w:val="15"/>
                <w:szCs w:val="15"/>
                <w:lang w:bidi="ar"/>
              </w:rPr>
              <w:t xml:space="preserve">对应中小企业划分标准所属行业</w:t>
            </w:r>
            <w:r/>
          </w:p>
        </w:tc>
      </w:tr>
      <w:tr>
        <w:trPr>
          <w:jc w:val="center"/>
          <w:trHeight w:val="507"/>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1</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消防安全腰带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1、结构组成：安全腰带由织带、带扣、D 型环和移动板组成。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2、主要应用场景：供消防员在灭火救援、抢险救灾或日常训练中防止坠落用，也可用于紧急情况下的逃生自救。</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▲4、出具的检测检验报告应包含检测标准依据：XF494-2004《消防用防坠落装备》。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▲5、采用尼龙和热锻铝合金材质，采取固定与移动相结合的D型环设计，主体颜色为藏蓝色。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▲6、款式：插扦改良式。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▲7、织带。尼龙66材质，织带为整根，不应有接缝，具有一定硬度，末端收尾为整烫圆弧型。</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▲8、带扣。热锻铝7075合金材质。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9、扦针：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9.1不锈钢420材质，双扦针。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9.2直径应与带扣、扦针孔适配。</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10、D型环：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10.1热锻铝7075合金材质，配置两个D型环。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10.2其中一个D型环采用缝合固定，距带扣100mm±2处；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10.3另一个D型环采用移动板和D型环组合结构，可自由调节。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▲11、扦针孔。优质不锈钢材质，直径12±1mm，距带尾部200mm±4处成双排六列型式向前等距排列。</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12、收带扣、移动板、缝线为尼龙66材质。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▲13、织带：藏蓝色，色差：≥3级；带扣、D型环：铝本色；保护盖、移动板、收带扣：黑色；缝线：颜色为灰色。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▲14、正立方向静拉力：≥15KN。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15、腰带质量≤0.8kg。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16、说明书或单独电子档必须有此项装备基础数据如：名称，产地，品牌型号，保质期，出厂时间，使用范围，性能参数，组成部分，注意事项及维护保养。</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07"/>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2</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消防员呼救器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▲1、结构组成：主要由主机、钥匙卡、充电器构成。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2、主要应用场景：用于消防员灭火救援作业中个人防护。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▲4、出具的检测检验报告应包含检测标准依据：GB27900-2011《消防员呼救器》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5、报警功能：①具备预报警功能：呼救器处于自动工作状态时，具有预报警功能。当静止时间超过允许静止时间时，应发出快速的断续预报警声响信号。在预报警期间，呼救器工作方位发生</w:t>
            </w:r>
            <w:r>
              <w:rPr>
                <w:rFonts w:hint="eastAsia" w:ascii="宋体" w:hAnsi="宋体" w:eastAsia="宋体" w:cs="宋体"/>
                <w:i w:val="0"/>
                <w:iCs w:val="0"/>
                <w:color w:val="000000"/>
                <w:sz w:val="15"/>
                <w:szCs w:val="15"/>
                <w:u w:val="none"/>
                <w:lang w:val="en-US" w:eastAsia="zh-CN" w:bidi="ar"/>
              </w:rPr>
              <w:t xml:space="preserve">变化或呼救器作速率不小于 5m/s 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6、低电压告警功能：当呼救器供电电池的电压低于额定电压的 80%时，应发出区别于预报警声响信号的慢速断续告警声响信号或光信号。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▲7、通信功能：呼救器处于报警状态时，发出报警声响信号和方位指示频闪光信号。同时，呼救器应能发射信号至接收终端予以识别，并能接收并识别来自接收终端发射的信号。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8、转换开关：应设置“关-手动-自动”转换开关。转换开关应灵活可靠、坚固耐用，并有防误动作结构。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9、允许静止时间：30±2S。</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10、预报警时间：15±2S。</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11、预报警声级强度：≥80dB。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12、报警声级强度：≥100dB。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13、低电压告警声级强度：≥65dB。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14、连续工作时间：连续开机时间：≥24h；连续报警时间：≥900min。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15、质量：≤230g。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16、绝缘性能 MΩ ：正常情况 ≥50，湿热试验后 ≥10。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17、防水性能：呼救器置于水深为 1.5m的容器内 2h，应无水渗入呼救器内，呼救器应能正常工作。</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18、耐气候环境性能：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高温试验：允许静止时间（s）30±2；预报警时间（s）15+2；预报警声级强度（dB）≥80，报警声级强度（dB）≥100。低温试验：允许静止时间（s）30±2；预报警时（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（2）交变湿热试验：允许静止时间（s）30±2；预报警时间（s）15±2；预报警声级强度（dB）≥80；报警声级强度（dB）≥100。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高温贮存试验：允许静止时间（s）30±2；预报警时间（s）15±2；预报警声级强度（dB）≥80；报警声级强度（dB）≥100。低温贮存试验允许静止时间（s）30±2；预报警时间（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19、耐机械环境性能：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（1）振动(正弦)试验：结构呼救器不应有机械损伤和紧固部位松动现象。允许静止时间（s）30±2；预报警时间（s）15±2；预报警声级强度（dB）≥80；报警声级强度（dB）≥100。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（2）冲击试验：结构呼救器不应有机械损伤和紧固部位松动现象。允许静止时间（s）30±2；预报警时间（s）15±2；预报警声级强度（dB）≥80；报警声级强度（dB）≥100。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（3）自由跌落试验：结构呼救器不应有机械损伤和紧固部位松动现象。允许静止时间（s）30±2；预报警时间（s）15±2；预报警声级强度（dB）≥80；报警声级强度（dB）≥100。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20、发射频率工作频段或频点：通信型呼救器发射频率应符合国家无线电管理委员会指定的工作频段或频点及相关要求。频率误差：kHz 发射频率不应大于±25kHz。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▲21、通信距离，m≥2000。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22、发光亮度，cd/m2≥300。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▲23、模拟烟雾环境方位指示性能在浓烟环境中，应可指示呼救器方位。</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24、产品标志产品上应标有如下内容：1）产品名称、型号；2）生产厂名；3）生产日期；4）防爆标志；5）执行标准代号。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▲25、防爆标志：Ex ib ⅡC T4 Gb，并提供国家防爆产品质量检验中心出具的防爆合格证。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▲26、防护等级：≥IP68。</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27、显示屏：≥1.54 寸 LCM 液晶显示屏，实时显示工作时间、电池电量、环境温度等信息。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28、外壳需采用防静电橡胶包胶工艺，具有较强的抗冲击、阻燃、耐高温性能及可靠的防水、防尘功能，跌落抗摔性能要求。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29、使用带有姓名的钥匙开、关机，开机后姓名钥匙保存于后场，可代替现场身份登记。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30、个人信息黑匣子功能，所有报警事件均被记录，可供事后分析。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31、具备计时提醒功能。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32、实时显示环境温度，温度高于设定阈值（默认能 50℃）自动报警。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33、具有联动报警响应功能，其中一具呼救器发出求救报警，同组呼救器可自动接收求救报警信号并发出搜救提示。</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34、具有相对定位搜救功能，可根据同组报警呼救器的信号强度判断搜救方向以及与被搜救者的楼层高度信息，定位精度＜2.5m。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35、内置 GPS/北斗定位功能，可将数据传至所属消防单位控制中心，同时支持呼救器场外指挥控制管理。</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07"/>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3</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应急逃生自救安全绳</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1、结构组成：安全绳1根、多功能阻燃绳包1个、轻型安全钩2个、轻型下降器1个、连接扁带1根、排绳器等。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2、主要应用场景：该系统适用于消防员在灭火救援、抢险救援等救援现场出现危急情况下的逃生自救。</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▲4、出具的检测检验报告应包含检测标准依据：XF494-2004《消防用防坠落装备》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5、直径（绳索）：≥8.0mm。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▲6、单位长度质量（绳索）：≤45.0g/m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7、延伸率%（绳索）：4%-10%。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▲8、破断强度（绳索）：≥35kN。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9、绳包功能及材料要求：能合理放置安全钩、下降器，能携带于安全腰带上，经 260℃高温试验后无明显变化（5min）。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10、外观、结构和标志（绳索）：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（1）绳索为连续结构，主承重部分由连续纤维制成。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（2）绳索为包芯绳结构。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（3）绳索表面无任何机械损伤现象，整绳粗细均匀，结构一致，一端为绳环结构并扣入安全钩，另一端热封后有塑胶包裹。</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（4）绳包翻盖位置有产品铭牌，其内容为产品型号，用途，生产厂名，批号和生产日期。</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11、破断负荷（下降器）：下降器承受13.5kN 试验负荷后，持续作用30s，试样未出现故障。</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12、外观（下降器）：在显著位置处有产品型号，用途，商标，批号和生产日期，下降器外部标注穿绳方向和安全提醒。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13、耐盐雾腐蚀性能（下降器）：经 48h 中性盐雾试验后，外观符合 GB/T6461-2002 外观等级评定轻微级的要求。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14、破断强度（安全钩）：闭口长轴≥40kN（中部断裂），闭口短轴≥11kN（中部断裂），开口长轴≥11kN（中部断裂）。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15、耐盐雾腐蚀性能（安全钩）：经 48h 中性盐雾试验后，外观符合 GB/T6461-2002 外观等级评定轻微级的要求。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16、绳索长度及标识：绳索的4m，8m，12m，16m处均设有标识，绳体上有连续反光标识。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17、高温环境承载性能（绳索）：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（1）将试样安装在拉力机上，控制力值 1.33kN，进行保载，随后使用表显600℃的数显调温热风枪吹风加热，测试距离5cm，加热 45s 后，经观察试样未发生断裂。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（2）将试样安装在拉力机上，控制力值 1.33kN，进行保载，随后使用表显 400℃的数显调温热风枪吹风加热， 测试距离5cm，加热 300s 后，经观察试样未发生断裂。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18、高温环境承载性能（扁带）：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（1）将试样安装在拉力机上，控制力值 1.33kN，进行保载，随后使用表显 600℃的数显调温热风枪吹风加热，测试距离5cm，加热 45s 后，经观察试样未发生断裂。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（2）将试样安装在拉力机上，控制力值 1.33kN，进行保载，随后使用表显 400℃的数显调温热风枪吹风加热， 测试距离5cm，加热 300s 后，经观察试样未发生断裂。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▲19、套装构成：套装至少包括自救型安全绳 1根，绳包1个，轻型安全钩2个，轻型下降器1个，扁带1根。</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20、耐高温性能（绳索和扁带）：经 204℃，5min 的耐高温性能试验后，绳索和扁带未出现熔融、焦化现象。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▲21、破断强度（扁带）：≥40kN（中部断裂）。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▲22、套装总质量：≤1.5kg。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▲23、安全绳长度：≥16m。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24、安全绳为包芯绳结构，安全绳索外皮、内芯均为阻燃耐高温材质（外皮、内芯均为 Kevlar芳纶长丝纤维材质）。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25、绳包设计有安全绳防止缠绕、垂降墙角保护等功能，有防水或泄水功能，能合理放置安全钩、下降器。</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07"/>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4</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正压式消防空气呼吸器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1、结构组成：产品由气瓶，全面罩、供气阀、减压阀、导气管、警报器、背架、压力平视装置等组成。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2、主要应用场景：缺氧或有毒现场作业时的呼吸防护。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▲4、出具的检测检验报告应包含检测标准依据：XF124-2013《正压式消防空气呼吸器》。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5、材料和结构：背具，背具带，带扣，气瓶保护套，全面罩，导气管，供气阀，整机气密性非金属高压部件强度等符合国家XF124-2013标准。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材料阻燃性能：背具，背具带，带扣，气瓶保护套，全面罩，导气管，供气阀阻燃性能试验后，不应出现熔融现象，续燃时间≤5s。整机气密性能：压力指示值在1min内的下降≤1MPa。抗热老化性能，整机气密性能：压力指示值在1 min内的下降≤1MPa，非金属高压部件，中压导气管强度，符合标准。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7、佩戴质量≤13kg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8、整机气密性，在气密性能试验后，其压力表的压力指示值在1 min内的下降≤1MPa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▲9、动态呼吸器阻力，在气瓶压力≥30MPa，吸气阻力≤250 Pa，呼气阻力≤650Pa；在气瓶压力≥2MPa，吸气阻力≤220 Pa，呼气阻力≤570Pa。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▲10、耐高温试验后，呼气阻力≤650Pa。耐低温试验后，呼气阻力≤580Pa。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11、耐辐射热性能试验后，在气密性能试验后，其压力表的压力指示值在1 min内的下降≤1MPa，全面罩保持正压，在气瓶压力≥30MPa，吸气阻力≤50 Pa，呼气阻力≤750Pa。静态压力≤200 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12、静态压力≤250 Pa，且不大于排气阀的开启压力。</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13、报警哨性能：报警哨压力≤5.5Mpa,连续声响时间≥90dB(A)的声强持续≥15秒。报警器继续报警符合标准，平均耗气量≤5L/min.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全面罩总视野保留率≥78%，双目视野保留率≥65%，镜面透光率≥96%，吸入空气中二氧化碳含量≤0.88%。可按要求选配一体式面罩用于消防全盔和抢险救援头盔配合使用，符合当前消防使用的安全和便捷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15、减压器输出压力在≤0.5 MPa ~≤0.7 MPa。压力调整部分设置有锁紧装置和安全阀。</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16、安全阀性能：关闭压力不小于减压器压力最大设计值≤0.90MPa。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17、设置自动正压机构。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18、压力表设计符合标准，压力表精度高且带有夜光显示功能，显示精度≥1.6级，防水性能经24h水下1m的浸泡后，压力表内不应有水。其漏气量≤15L/min。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19、连接强度≥250N。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20、金属高压部件强度经气瓶公称工作压力的1.5倍水压试验后，无渗漏和异常变形。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21、中压导气管不妨碍佩戴者工作和头部自由活动，且不干扰供气阀同面罩的连接。耐挤压性能：中压导气管经挤压试验后，空气流量的降低≤5%。试验结束5min后，无可观察到的扭曲。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22、输出接头的尺寸12（±0.05），符合标准。输入接头与输出接头的连接方便可靠，连接后不漏气。</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23、气瓶瓶阀:安全膜片爆破压力在气瓶阀具有安全爆破膜片压力值设置为≥37MPa。输出端螺纹长度≥18mm。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气瓶水容积：≥6.8L，全缠绕式碳纤复合材料:内胆采用高强度、耐腐蚀、重量轻的铝合金材料，工作压力≥30MPa，水压试验压力≥50MPa，瓶口螺纹：≥M18X1.5，符合GB/T28053-2011《呼吸器用复合气瓶》规定，爆破压力达工作压力的≥3.4倍以上，气瓶阀有安全保护膜片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25、标志：整套空呼具有消防标识，厂家信息，型号，合格证和中文说明书。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全面罩视野开阔，采用凯夫拉五点式网状头带，镜面防雾、防划、抗冲击，无视觉扭曲，面罩具有视窗除结雾功能。具备免工具手动拆解清洗维护功能。接头全方向360度旋转，吸气自动供气，无需辅助按钮，供气阀可免工具拆解清洗，可内置眼镜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27、腰带可随使用者运动而自行旋转。腰带上有供气阀固定座，肩带有反光条，气瓶固定带便于伸缩，带有快调锁止机构。气瓶带有橡胶保护套的压力表，气瓶配有阻燃橘红色保护袋。</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07"/>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5</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佩戴式防爆照明灯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1、结构组成：灯头光源、TYPE-C充电口、灯身组件、电池、尾盖组件、电量显示组件。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2、主要应用场景：适用于消防行业各种火灾现场灭火救援及户外、野外等场所的抢险救援等单兵佩戴式照明。</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▲5、提供国家防爆产品质量检验中心出具的防爆合格证。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▲6、灯具的供电电源采用可充电池；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▲7、电池可替换的灯具应配备独立的电池充电底座，灯具的充电器应用插头与交直流转器分离式结构，灯具或充电器应设置充、放电保护电路；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▲8、灯 具 的 防 爆 性 能 应 符 合GB3836.1-2010 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▲9、佩戴式灯具应具有与消防头盔匹配的固定连接件。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10、功能要求：灯具应具有强、弱光切换功能；灯具应具有闪烁方式的低电压告警功能。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11、外观及装配：灯具外观应清洁、光滑、整齐、无污损、腐蚀、划伤、毛刺、裂痕、变形现象；灯具各零部件装配应完善、精确、牢靠，无缺损、错位、松动现象，开关操作应方便、灵活、可靠。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照度：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 佩戴式强光平均值 ≥2000Lx，佩戴式强光最小值≥1000Lx。</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▲13、佩戴式弱光平均值≥600Lx。</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14、佩戴式弱光最小值≥580Lx。</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▲15、连续稳定工作时间：佩戴式强光≥240min，佩戴式弱光≥480min。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16、低电压报警时间：强光≦13s，弱光≦13s。</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17、低电压状态下连续工作时间：强光≥15min，弱光≥30min。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18、绝缘性能：在常温环境下，灯具带电端子与外壳间的绝缘电阻应不小于 20MΩ，交变温热试验后应不小于 5MΩ。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19、耐电压性能：灯具应能耐受频率为 50Hz±0.5Hz，交流电压为 500V±50V，历时 60s±5s 的耐电压试验。试验过程中，灯具不应出现表面飞弧和击穿现象。试验结束后，灯具应能正常进行开、关和强、弱光切换。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20、低温性能：温度-25±2℃，持续时间2h，试验后，灯具应能正常进行开、关和强、弱光切换。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21、高温性能：温度 55±2℃，持续时间2h，试验后，灯具应能正常进行开、关和强、弱光切换。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22、交变湿热性能：温度25±3℃升至40±2℃，相对湿度95~100%，持续时间 3h；温度40±2℃，相对湿度 90~96%，持续时间9h；温度40±2℃降至25±3 ℃，相对湿度80~100%，持续时间6h；温度25±3℃，相对湿度95~100%，持续时间 6h。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23、低温贮存：温度-40±2℃，持续时间：16h，常温恢复时间：8h，试验后，灯具应能正常进行开、关和强、弱光切换。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24、高温贮存：温度70±2℃，持续时间：16h，常温恢复时间：8h，试验后，灯具应能正常进行开、关和强、弱光切换。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25、抗振动性能：频率循环范围 10~150Hz，加速幅值1g，扫频速率 1Oct/min，振动方向 X、Y、Z，每轴线扫描循环次数10次，试验后，灯具应无机械损伤和紧固件松动现象，且能正常进行开、关和强、弱光切换。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▲26、抗跌落性能：佩戴式跌落高度 1.5m，跌落方向 X、Y、Z，每个轴向跌落次数 1 次，试验后，灯具应能正常进行开、关和强、弱光切换。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27、开关可靠性：灯具的开关经50000次可靠性试验后应保持完好，且灯具应能正常点亮并实现强、弱光切换。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▲28、外壳防护等级灯具的外壳防护等级为 IP68，潜水深度5m，持续时间不少于 1h。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29、灯具标志：灯具的明显位置处应有清晰且与灯具为一体的标志，包括以下内容：a)产品名称；b)产品型号；c)防护等级（等级为IP68 时，需标注潜水深度和持续时间）；d)防爆标志；e)生产日期；f)产品编号；g)生产厂名称。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30、充电器标志：充电器的明显位置处应有清晰、耐久的标志，包括以下内容：a)产品名称；b)产品型号；c)适配灯具型号；d)生产日期；e)产品编号；f)生产厂名称。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31、额定电压：≥DC3.7V。</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32、额定容量：≥1.8Ah。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33、光源功率：3W。</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34、充电时间：≤5h。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35、外形尺寸：≤φ23×120mm。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36、具有优质选材铜基板设计，可大幅提升 LED 光源散热性能，提升光源使用寿命及光效。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37、灯具尾部需有大开关设计，可满足佩戴手套进行灯具的开关操作和强弱爆闪光的切换。尾部开关同时具有信号指示作用，当灯具打开时，尾部开关为红色信号指示灯，可视距离需大于 100m，可为后方人员提供警示。</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38、灯具需具有清晰的4段式LED 电量指示装置，可实时显示电池电量剩余情况及充电进行状态。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39、充电口需采用type-C 充电接口，适用所有USB输出端口进行充电，方便快捷。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40、为灯具提供头灯集中充电的充电箱，每箱可同时满足至少8套灯具一起插入充电，充电箱可接入市电、车载两种通电模式，简单便捷，满足消防员各种紧急需求。根据20：1的比例配置集中充电箱（就上取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▲41、可提供8种以上（采购方选择1种）不同类型的头盔支架，确保主流头盔的配对使用。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42、电量显示功能。</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auto"/>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 xml:space="preserve">6</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auto"/>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 xml:space="preserve">消防腰斧</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1、结构组成：由多功能腰斧和腰斧套组成。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2、主要应用场景：具备能砍、能凿、能撬等性能，个人防护工具。"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1、★符合XF 630-2006《消防腰斧》标准要求并提供国家级检验机构出具的检验报告。"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▲1、基本尺寸（mm）：全长285±2.5，斧头长度160±2.5，斧头厚度10±1，平刃宽度56±1.5，柄刃宽度22±1，撬口宽度30±1，撬口深度25±1。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外观要求：腰斧各刃部应抛光，其表面粗糙度Ra值不应大于6.3μm；腰斧金属表面应平整光洁，不应有裂纹、毛刺、凹痕、缺损或有害杂质等缺陷，涂漆部分不应有流痕气泡等缺陷；橡胶斧柄套应无碎渣、气泡、孔隙、夹杂物及其它明显缺陷，表面花纹应清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▲3、质量≤0.9kg。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▲4、硬度：腰斧各刃部和撬口均应经热处理，且其硬度均应达到48HRC-56HRC,刃部热处理长度应不小于20mm且不大于40mm,撬口热处理长度应不小于 5mm且不大于10mm。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5、抗冲击性能：腰斧各刃部经5kg的重锤冲击后，不应有裂纹、变形等损伤。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▲6、平刃砍断性能：腰斧平刃应能砍断直径6.5mm的Q235A圆钢，应无明显缺刃、卷边和裂纹等影响使用功能的损伤。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▲7、尖刃和柄刃凿击性能：腰斧尖刃和柄刃应能凿击Q235A钢平板，应无明显缺刃、卷边和裂纹等影响使用功能的损伤。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8、耐腐蚀性能：腰斧的金属部分经GB/T10125- 1997规定的48h中性盐雾试验后， 外观应符合GB6461-2002外观等级评定轻微级的要求。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9、标志：合格。"</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36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7</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消防护目镜</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★1、结构组成：由镜架、镜片、头带组成。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2、主要应用场景：为消防救援人员在救援过程中提供眼部防护。"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3、★符合XF1273-2015《消防员防护辅助装备 消防员护目镜》标准要求并提供国家级消防装备检验机构出具的检验报告（报告内需体现参照该标准检验）。"</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4、外观：1、护目镜不应存在让佩戴者感到不适或对使用者造成伤害的突出部分、尖锐边缘或其他缺陷。2、除镜片边缘5mm 宽的区域以外，镜片不应存在气泡、水泡、划痕、凹痕、固体杂质、气体杂质、暗点、斑点、蚀损斑、霉斑、修补斑、蚀孔、碎片、裂纹、抛光缺陷或波纹等表面缺陷。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5、头带：1）调节性：护目镜用于固定作用的头带应可调节。2）宽度：护目镜头带的宽度应不小于10mm。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▲6、质量（g）≤150g。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防护区：当护目镜为单镜片时，其长方形镜片（包括眼罩）的长和宽分别应不小于130mm和50mm，厚度应不大于3.8mm。当护目镜为双镜片时，若镜片为圆形，其镜片直径应不小于60mm。若镜片为不规则形，其单个镜片的水平基准长和宽分别应不小于45mm和40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8、球镜度和柱镜度：球镜度：±0.06D；柱镜度：≤0.06D。</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9、棱镜度和棱镜度互差：左、右镜片的棱镜度：≤0.12；水平方向棱镜度互差：基底向外：≤0.75；基底向内:≤0.25；垂直方向棱镜度互差:≤0.25。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▲10、光透射比：＞85%。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▲11、抗高</w:t>
            </w:r>
            <w:r>
              <w:rPr>
                <w:rFonts w:hint="eastAsia" w:ascii="宋体" w:hAnsi="宋体" w:eastAsia="宋体" w:cs="宋体"/>
                <w:i w:val="0"/>
                <w:iCs w:val="0"/>
                <w:color w:val="000000"/>
                <w:sz w:val="15"/>
                <w:szCs w:val="15"/>
                <w:u w:val="none"/>
                <w:lang w:val="en-US" w:eastAsia="zh-CN" w:bidi="ar"/>
              </w:rPr>
              <w:t xml:space="preserve">速粒子冲击性能：护目镜应能承受直径为6mm，质量为0.86g，速度≥120+30m/s的钢珠在正面两个冲击点、侧面两个冲击点的冲击试验，试验后不应出现下列缺陷：1、镜片破损：镜片出现碎裂，或表面出现大于5mg的碎片脱落，或钢球穿透了镜片；2、镜片变形：镜片另一面的白纸出现斑痕；3、镜片外框或镜架损坏：镜片外框或镜架出现裂块，或无法再安装镜片，或镜片脱离镜架，外框或镜架被钢球穿透；4、侧面防护损坏：侧面防护片出现碎裂，或从镜片表面的撞击点处脱离，或被钢球完全穿透，或防护镜出现部分或完全的脱落，或部分零件裂开。</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抗重物锥击性能：分别在温度为(55土2)℃和(-20±2)℃环境下持续1h后，护目镜应能承受高度为1270mm、质量不小于500g的锥击重物的冲击，试验后不应出现下列缺陷：1、镜片破损：镜片出现碎裂，或有材料从撞击后的镜片上脱落；2、镜片穿透：弹头尖部穿过镜片；3、镜片牢固性受影响：镜片从防护架或外框中弹出；4、镜片变形：镜片接触头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13、耐热性能：经耐热实验后，护目镜应无异常现象，镜片的光学性能应符合GA1273-2015《消防员防护辅助装备 消防员护目镜》5.6的规定。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14、镜片防雾性能：在防雾试验期间，护目镜镜片应在8s内不起雾，但最初起雾的0.5s不作为起雾的时间。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15、需配备护目镜收纳盒。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▲16、护目镜头带弹力材料采用天然乳胶带材质且宽度不小于10mm。"</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56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8</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手持电台</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★1、结构组成：对讲机主机、锂离子电池、电源适配器、锂电充电座、皮带夹、真皮吊绳、天线、备用电池（防爆等级与电台一致）。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2、主要应用场景：用于消防员灭火救援作业中语音通信。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3、提供公安一所PDT入网检测报告证明材料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4、提供中华人民共和国工业和信息化部颁发的《无线电发射设备型号核准证》证明材料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5、提供第三方具备CNAS或CMA认证资质的机构出具的相关功能检测报告证明材料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6、提供国家防爆电气产品质量监督检验中心颁发的《防爆电气设备防爆合格证》证明材料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7、兼容性：支持接入语音自组网基站；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★8、频率范围：350-400MHz；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9、输出功率：1~4W可调；（防爆电台1~3.5W可调）</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▲10、显示屏：≥2.0英寸；</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▲11、电池：≥2300mAh；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 信道容量：≥1024；组群：≥32；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13、信道间隔：12.5KHz；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 频率稳定度：≤±0.5ppm；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15、尺寸：≤135*55*37mm；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 重量：≤390g；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▲17、为保证对讲机良好的接收性能，对讲机数字静态接收灵敏度须≤0.2μV（BER5%）；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 环境指标：工作温度范围：-20℃～+55℃；储存温度范围：-40℃～+65℃；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19、防尘防水等级要求：≥IP68；</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20、为保障对讲机在应急场景下能长时间连续使用，对讲机须配备高容量电池，电池平均工作时间（高功率发射）≥24个小时；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 具有良好的可靠性及耐用性，符合国军标GJB 150A-2009，能够在各种恶劣的工作环境中发挥优异性能；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22、在直通模式下，在近距离 1.5米的下通话，彼此不产生信号干扰；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23、须内置蓝牙模块，不需要蓝牙适配器，蓝牙协议版本不低于Bluetooth V4.0；旋钮支持360°无极型旋转，可循环切换不同的组呼联系人，须提供第三方具备CNAS或CMA认证资质的机构出具的检测报告扫描件加盖投标单位公章；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24、须内置定位模块，支持北斗和GPS定位功能，须提供第三方具备CNAS或CMA认证资质的机构出具的检测报告扫描件加盖投标单位公章；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25、支持多种定位信息上报模式和上传更多内容，包含但不限于主动上报定位信息、通话中上报定位信息、能识别讲话方位置信息显示等功能；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26、须支持智能降噪功能，在噪声环境下讲话，接收方能听到清晰语音，最大可达到25dB，须提供第三方具备CNAS或CMA认证资质的机构出具的检测报告扫描件加盖投标单位公章；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27、须支持远程升级和远程写频；</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28、须支持导水功能，可快速流出进入到麦克风和喇叭的水，须提供第三方具备CNAS或CMA认证资质的机构出具的检测报告扫描件加盖投标单位公章；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29、须支持通知提醒功能，终端会对未接的业务进行提醒，提醒信息中包含多种信息，如业务类型、发起时间，文本业务中还会有部分文本内容，须提供第三方具备CNAS或CMA认证资质的机构出具的检测报告扫描件加盖投标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 须支持在终端上查询其他终端的相互位置信息；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32、支持内置NVOC和AMBE++两个声码器，两个声码器之间可自由切换，且切换不重启；</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33、须提供中华人民共和国工业和信息化部颁发的《无线电发射设备型号核准证》扫描件并加盖单位公章；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★34、符合当地公安数字集群系统接入要求（需提供所投品牌型号已接入当地公安数字集群的电台样机，或当地公安承诺接入说明）并负责具体接入工作。后续为应急 370M提供升级服务；配备加密卡。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规格参数</w:t>
            </w:r>
            <w:r>
              <w:rPr>
                <w:rFonts w:hint="eastAsia" w:ascii="宋体" w:hAnsi="宋体" w:eastAsia="宋体" w:cs="宋体"/>
                <w:i w:val="0"/>
                <w:iCs w:val="0"/>
                <w:color w:val="000000"/>
                <w:sz w:val="15"/>
                <w:szCs w:val="15"/>
                <w:u w:val="none"/>
                <w:lang w:val="en-US" w:eastAsia="zh-CN" w:bidi="ar"/>
              </w:rPr>
              <w:br/>
            </w:r>
            <w:r>
              <w:rPr>
                <w:rFonts w:ascii="Wingdings 2" w:hAnsi="Wingdings 2" w:eastAsia="Wingdings 2" w:cs="Wingdings 2"/>
                <w:i w:val="0"/>
                <w:iCs w:val="0"/>
                <w:color w:val="000000"/>
                <w:sz w:val="15"/>
                <w:szCs w:val="15"/>
                <w:u w:val="none"/>
                <w:lang w:val="en-US" w:eastAsia="zh-CN" w:bidi="ar"/>
              </w:rPr>
              <w:t xml:space="preserve"></w:t>
            </w:r>
            <w:r>
              <w:rPr>
                <w:rFonts w:hint="eastAsia" w:ascii="宋体" w:hAnsi="宋体" w:eastAsia="宋体" w:cs="宋体"/>
                <w:i w:val="0"/>
                <w:iCs w:val="0"/>
                <w:color w:val="000000"/>
                <w:sz w:val="15"/>
                <w:szCs w:val="15"/>
                <w:u w:val="none"/>
                <w:lang w:val="en-US" w:eastAsia="zh-CN" w:bidi="ar"/>
              </w:rPr>
              <w:t xml:space="preserve">一般规格</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频率范围：350-400MHz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信道容量：≥1024</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组群：≥64（每组群≥128个组）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信道间隔：12.5KHz/20KHz/25KHz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工作电压：7.4V(额定)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标配电池：≥2100mAh(锂)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电池平均工作时间（5-5-90工作循环，高功率发射）标配锂电池：打开定位≥17小时，关闭定位≥20小时；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频率稳定度：≤±0.5ppm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重量（带标配电池和天线）：≤400g</w:t>
            </w:r>
            <w:r>
              <w:rPr>
                <w:rFonts w:hint="eastAsia" w:ascii="宋体" w:hAnsi="宋体" w:eastAsia="宋体" w:cs="宋体"/>
                <w:i w:val="0"/>
                <w:iCs w:val="0"/>
                <w:color w:val="000000"/>
                <w:sz w:val="15"/>
                <w:szCs w:val="15"/>
                <w:u w:val="none"/>
                <w:lang w:val="en-US" w:eastAsia="zh-CN" w:bidi="ar"/>
              </w:rPr>
              <w:br/>
            </w:r>
            <w:r>
              <w:rPr>
                <w:rFonts w:ascii="Wingdings 2" w:hAnsi="Wingdings 2" w:eastAsia="Wingdings 2" w:cs="Wingdings 2"/>
                <w:i w:val="0"/>
                <w:iCs w:val="0"/>
                <w:color w:val="000000"/>
                <w:sz w:val="15"/>
                <w:szCs w:val="15"/>
                <w:u w:val="none"/>
                <w:lang w:val="en-US" w:eastAsia="zh-CN" w:bidi="ar"/>
              </w:rPr>
              <w:t xml:space="preserve"></w:t>
            </w:r>
            <w:r>
              <w:rPr>
                <w:rFonts w:hint="eastAsia" w:ascii="宋体" w:hAnsi="宋体" w:eastAsia="宋体" w:cs="宋体"/>
                <w:i w:val="0"/>
                <w:iCs w:val="0"/>
                <w:color w:val="000000"/>
                <w:sz w:val="15"/>
                <w:szCs w:val="15"/>
                <w:u w:val="none"/>
                <w:lang w:val="en-US" w:eastAsia="zh-CN" w:bidi="ar"/>
              </w:rPr>
              <w:t xml:space="preserve">发射指标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输出功率：＜3.5W</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FM调制方式：11K0F3E@12.5kHz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14K0F3E@20kHz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16K0F3E@25kHz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4FSK数字调制方式：12.5kHz仅数据：7K60FXD</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12.5kHz数据和语音：7K60FXW</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传导/辐射发射：-36dBm&lt;1GHz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-30dBm&gt;1GHz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调制限制：±2.5kHz@12.5kHz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±4.0kHz@20kHz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±5.0kHz@25kHz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FM交流声与噪声：≥40dB@12.5kHz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≥43dB@20KHz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≥45dB@25kHz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邻道功率：≥60dB@12.5kHz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≥70dB@20/25kHz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音频响应：+1～-3dB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音频失真：≤3%</w:t>
            </w:r>
            <w:r>
              <w:rPr>
                <w:rFonts w:hint="eastAsia" w:ascii="宋体" w:hAnsi="宋体" w:eastAsia="宋体" w:cs="宋体"/>
                <w:i w:val="0"/>
                <w:iCs w:val="0"/>
                <w:color w:val="000000"/>
                <w:sz w:val="15"/>
                <w:szCs w:val="15"/>
                <w:u w:val="none"/>
                <w:lang w:val="en-US" w:eastAsia="zh-CN" w:bidi="ar"/>
              </w:rPr>
              <w:br/>
            </w:r>
            <w:r>
              <w:rPr>
                <w:rFonts w:ascii="Wingdings 2" w:hAnsi="Wingdings 2" w:eastAsia="Wingdings 2" w:cs="Wingdings 2"/>
                <w:i w:val="0"/>
                <w:iCs w:val="0"/>
                <w:color w:val="000000"/>
                <w:sz w:val="15"/>
                <w:szCs w:val="15"/>
                <w:u w:val="none"/>
                <w:lang w:val="en-US" w:eastAsia="zh-CN" w:bidi="ar"/>
              </w:rPr>
              <w:t xml:space="preserve"></w:t>
            </w:r>
            <w:r>
              <w:rPr>
                <w:rFonts w:hint="eastAsia" w:ascii="宋体" w:hAnsi="宋体" w:eastAsia="宋体" w:cs="宋体"/>
                <w:i w:val="0"/>
                <w:iCs w:val="0"/>
                <w:color w:val="000000"/>
                <w:sz w:val="15"/>
                <w:szCs w:val="15"/>
                <w:u w:val="none"/>
                <w:lang w:val="en-US" w:eastAsia="zh-CN" w:bidi="ar"/>
              </w:rPr>
              <w:t xml:space="preserve">接收指标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数字接收灵敏度（数字）：≤0.18μV/BER5%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邻道选择性：≥60dB@12.5kHz、70dB@20/25kHz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互调：≥65dB@12.5/20/25kHz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杂散响应抑制：≥70dB@12.5/20/25kHz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阻塞：≥84dB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交流声与噪声：≥40dB@12.5kHz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≥43dB@20KHz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≥45dB@25kHz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额定音频输出功率：≥0.5W</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额定音频失真：≤3%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音频响应：+1～-3dB</w:t>
            </w:r>
            <w:r>
              <w:rPr>
                <w:rFonts w:hint="eastAsia" w:ascii="宋体" w:hAnsi="宋体" w:eastAsia="宋体" w:cs="宋体"/>
                <w:i w:val="0"/>
                <w:iCs w:val="0"/>
                <w:color w:val="000000"/>
                <w:sz w:val="15"/>
                <w:szCs w:val="15"/>
                <w:u w:val="none"/>
                <w:lang w:val="en-US" w:eastAsia="zh-CN" w:bidi="ar"/>
              </w:rPr>
              <w:br/>
            </w:r>
            <w:r>
              <w:rPr>
                <w:rFonts w:ascii="Wingdings 2" w:hAnsi="Wingdings 2" w:eastAsia="Wingdings 2" w:cs="Wingdings 2"/>
                <w:i w:val="0"/>
                <w:iCs w:val="0"/>
                <w:color w:val="000000"/>
                <w:sz w:val="15"/>
                <w:szCs w:val="15"/>
                <w:u w:val="none"/>
                <w:lang w:val="en-US" w:eastAsia="zh-CN" w:bidi="ar"/>
              </w:rPr>
              <w:t xml:space="preserve"></w:t>
            </w:r>
            <w:r>
              <w:rPr>
                <w:rFonts w:hint="eastAsia" w:ascii="宋体" w:hAnsi="宋体" w:eastAsia="宋体" w:cs="宋体"/>
                <w:i w:val="0"/>
                <w:iCs w:val="0"/>
                <w:color w:val="000000"/>
                <w:sz w:val="15"/>
                <w:szCs w:val="15"/>
                <w:u w:val="none"/>
                <w:lang w:val="en-US" w:eastAsia="zh-CN" w:bidi="ar"/>
              </w:rPr>
              <w:t xml:space="preserve">环境指标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工作温度范围：≥-20℃～+55℃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储存温度范围：≥-40℃～+65℃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ESD（静电防护等级）：≥IEC 61000-4-2（level 4）</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防尘防水：≥IP68</w:t>
            </w:r>
            <w:r>
              <w:rPr>
                <w:rFonts w:hint="eastAsia" w:ascii="宋体" w:hAnsi="宋体" w:eastAsia="宋体" w:cs="宋体"/>
                <w:i w:val="0"/>
                <w:iCs w:val="0"/>
                <w:color w:val="000000"/>
                <w:sz w:val="15"/>
                <w:szCs w:val="15"/>
                <w:u w:val="none"/>
                <w:lang w:val="en-US" w:eastAsia="zh-CN" w:bidi="ar"/>
              </w:rPr>
              <w:br/>
            </w:r>
            <w:r>
              <w:rPr>
                <w:rFonts w:ascii="Wingdings 2" w:hAnsi="Wingdings 2" w:eastAsia="Wingdings 2" w:cs="Wingdings 2"/>
                <w:i w:val="0"/>
                <w:iCs w:val="0"/>
                <w:color w:val="000000"/>
                <w:sz w:val="15"/>
                <w:szCs w:val="15"/>
                <w:u w:val="none"/>
                <w:lang w:val="en-US" w:eastAsia="zh-CN" w:bidi="ar"/>
              </w:rPr>
              <w:t xml:space="preserve"></w:t>
            </w:r>
            <w:r>
              <w:rPr>
                <w:rFonts w:hint="eastAsia" w:ascii="宋体" w:hAnsi="宋体" w:eastAsia="宋体" w:cs="宋体"/>
                <w:i w:val="0"/>
                <w:iCs w:val="0"/>
                <w:color w:val="000000"/>
                <w:sz w:val="15"/>
                <w:szCs w:val="15"/>
                <w:u w:val="none"/>
                <w:lang w:val="en-US" w:eastAsia="zh-CN" w:bidi="ar"/>
              </w:rPr>
              <w:t xml:space="preserve">定位指标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TTFF（首次定位时间）冷启动：＜60秒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TTFF（首次定位时间）热启动：＜10秒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水平位置精度：＜10米</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32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9</w:t>
            </w:r>
            <w:r/>
          </w:p>
        </w:tc>
        <w:tc>
          <w:tcPr>
            <w:tcW w:w="907" w:type="dxa"/>
            <w:vAlign w:val="center"/>
            <w:textDirection w:val="lrTb"/>
            <w:noWrap w:val="false"/>
          </w:tcPr>
          <w:p>
            <w:pPr>
              <w:pStyle w:val="690"/>
              <w:jc w:val="center"/>
              <w:keepLines w:val="0"/>
              <w:keepNext w:val="0"/>
              <w:pageBreakBefore w:val="0"/>
              <w:spacing w:beforeAutospacing="0" w:afterAutospacing="0" w:line="240" w:lineRule="auto"/>
              <w:widowControl w:val="off"/>
              <w:rPr>
                <w:rFonts w:hint="eastAsia"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消防员灭火防护服</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★1、结构组成：外层、防水透气层、舒适层共三层面料组成，并带有救生拖拉带。"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2、★符合XF10-2014《消防员灭火防护服》标准要求，提供国家消防装备质量监督检验中心签发的检验报告复印件和应急管理部消防产品合格评定中心认证证书复印件。"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▲4、整体热护性能(cal/cm2) ≥ 39.5。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▲5、阻燃性能-外层：径向：续燃时间0s，损毁长度≤10cm，纬向：续燃时间0s，损毁长度≤10cm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▲6、阻燃性能-防水透气层（隔热层）：径向：续燃时间0s，损毁长度≤35cm，纬向：续燃时间0s，损毁长度≤38cm；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▲7、阻燃性能-舒适层：径向：续燃时间0s ，损毁长度≤27cm，纬向：续燃时间0s，损毁长度≤24cm；反光标志带：径向：续燃时间0s，损毁长度≤28cm，纬向：续燃时间0s，损毁长度≤18cm；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▲8、阻燃性能-外层加强材料：径向：续燃时间0s， 损毁长度≤19cm，纬向：续燃时间0s，损毁长度≤17cm；防护护腕：续燃时间0s；缝纫线：续燃时间0s，所有试验现象不应有熔融、滴落现象。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11、热稳定性能：外层变化率（%）≤1.0 现象试样表面无明显变化。防水透气层变化率（%）≤2.0，现象试样表面无明显变化。外层加强材料变化率（%）≤1，现象试样表面无明显变化。舒适层变化率（%）≤2.0 现象试样表面无明显变化。缝纫线应无熔化、烧焦现象，五金件应能保持其原有的功能。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9、缩水率：≤5%。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10、表面抗湿性能≥3级。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▲11、断裂强力-外层：径向(N)≥1900，纬向(N)≥1800；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▲12、断裂强力-舒适层：径向(N)≥750，纬向(N)≥550。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▲13、撕破强力-内层：径向(N)≥800，纬向 (N) ≥650。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14、单位面积质量 (g/m2)防水透H层≥200，舒适层≥140。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15、外层色牢度：耐洗沾色(级)、耐水摩擦(级)、光色牢度(级)均不低于4级要求。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16、防水透气层：耐静水压(kPa) &gt;50，透湿率(g/ (m2·24h))≥6000，拒油性能(级) ≥4。</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17、针距密度：明暗线（针/3cm) ≥13。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18、色差：防护服的领与前身、袖与前身、袋与前身、左右前身及其他衰面部位的色差不应小于4级。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21、反光标志带：耐热性能试验后，反光材料表面应无炭化、脱落现象。高低温性能试验后，不应岀现断裂、起皱、扭曲现象。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22、质量（kg) ≤ 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23、款式、标识符合国家消防救援局《20式消防员灭火防护服款式标识统型要求》。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24、配有救生拖拉带：救生拖拉带展开时间不应大于4s，拖动测试假人距离不应小于2.5m。"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24、增加挂点（肩挂、胸挂等）</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eastAsia="zh-CN"/>
              </w:rPr>
              <w:suppressLineNumbers w:val="0"/>
            </w:pPr>
            <w:r>
              <w:rPr>
                <w:rFonts w:hint="eastAsia" w:ascii="宋体" w:hAnsi="宋体" w:eastAsia="宋体" w:cs="宋体"/>
                <w:i w:val="0"/>
                <w:iCs w:val="0"/>
                <w:color w:val="000000"/>
                <w:sz w:val="15"/>
                <w:szCs w:val="15"/>
                <w:u w:val="none"/>
                <w:lang w:val="en-US" w:eastAsia="zh-CN" w:bidi="ar"/>
              </w:rPr>
              <w:t xml:space="preserve">112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包二</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1</w:t>
            </w:r>
            <w:r/>
          </w:p>
        </w:tc>
        <w:tc>
          <w:tcPr>
            <w:tcW w:w="907"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消防员抢险救援头盔</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1、结构组成：产品由帽壳，护目镜，调节结构等组成。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2、主要应用场景：恶劣条件下对消防救援人员的防护要求。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▲4、出具的检测检验报告应包含检测标准依据：XF633-2006《消防员抢险救援防护服装》。</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▲5、材料和结构：高温热塑材料帽壳，双层护目镜，单手调节系统。</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6、外观要求：头盔采用流线型半盔式设计，带有，透气孔具备高抗冲击性能；3点式下颏带及帽箍可调系统适应在恶劣条件下工作。</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冲击吸收性能：高温预处理将头盔置于50℃的温度中保持4小时,头模所受冲击力≤2600N,低温预处理将头盔置于-28℃的温度中保持4小时,头模所受冲击力≤2600N,浸水预处理将头盔置于水槽中室温保持4小时,头模所受冲击力≤2600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▲8、耐穿透性能：低温预处理将头盔置于-28℃的温度中保持4小时，钢锥未与头模建立电接触。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9、阻燃性能：火源离开帽壳后，帽壳火焰在5s内自熄。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10、热稳定性能：救援头盔在180℃的烘箱中，保持5min后，其边沿无变形，硬质附件保持功能完好，反光材料表面无碳化脱落现象。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▲11、侧向刚性：救援头盔帽壳的最大变形≤40mm,卸载后变形≤5mm。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12、下额带抗拉强度：在测试标准下不会发生断裂，滑脱，延伸长度≤20mm。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▲13、整体质量（包括护目镜）&lt;900g。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14、标志：头盔具有厂家信息，型号，合格证和中文说明书。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▲15、标配有全封闭防护眼罩，其采用双层隔热镜片，材质采用高性能聚碳酸酯，抗冲击性能好，同时带超硬防刮防雾涂层。眼罩周围采用柔软橡胶制成，在有效保护眼部安全的同时，更提高了舒适性。</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16、帽壳具有反光条。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17、帽箍可在52－64cm范围内可自由调节。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▲18、帽壳材料：高温热塑材料。</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19、帽衬快速滑动式调节系统，单手一次调节到位。</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144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消防员抢险救援靴</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1、结构组成：由靴头、靴面、靴帮、靴底等组成。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2、主要应用场景：消防员在抢险救援时用于对脚、踝部和小腿等足部提供保护的防护靴。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▲4、出具的检测检验报告应包含检测标准依据：XF633-2006《消防员抢险救援防护服装》。</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▲5、靴面厚度：≥2.4mm。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6、靴外底磨耗减量：≤0.3cm/2km。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7、靴帮抗切割性能：经抗切割试验后，不应被割。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靴帮抗刺穿性能：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▲8、帮面皮革部位：≥175 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▲9、帮面织物部位：≥120 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抗穿刺性能：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▲10、掌心：≥1800N。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▲11、前掌1：≥1800N。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▲12、前掌2：≥1900N。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▲13、后跟：≥2000N。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14、金属衬垫的耐腐蚀性能：金属衬垫经腐蚀试验后，试样上无锈斑、锈痕、斑剥、针孔状的斑点等现象发生。</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15、质量：≤2kg。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16、外观质量：消防员抢险救援靴每件产品上应平整、平服、平稳、清洁、对称。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17、绷帮端正平服：内底不露钉尖，无顶尾突出。</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18、鞋里不应明显变色、脱色。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19、鞋垫牢固、平整；无明显感官缺陷；有中国鞋号。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20、缝线线道整齐，针码均匀，松紧一致。未有跳线、重针、断线、翻线、开线及缝线越轨等。</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144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消防员防蜂服</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1、结构组成：全包覆一体式设计，衣服整体采用双层高压耐刺穿白色面料制作，具有良好的阻燃、防蛰、耐磨性能。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2、主要应用场景：用于防蜂类等昆虫侵蚀的专用防护。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▲4、出具的检测检验报告应包含检测标准依据：XF3008-2020《消防员防蜂服》</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5、面料抗蛰刺性能≥0.45N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6、面料阻燃性能：经纬向续燃时间 0s，经纬向损毁长度≤9cm，无熔融、滴落现象。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▲7、面料耐磨性能：经循环次数 2000 次，试样未被磨穿。</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8、面料断裂强力：径向≥1300N，纬向≥850N。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9、面料撕破强力：径向≥200N，纬向≥80N。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▲10、面料甲醛含量：≤40mg/kg。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11、面料PH值：7.0-8.5。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12、面料表面抗湿性能：沾水等级≥4 级。</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13、面料拒油性能≥6 级。</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14、面料接缝断裂强力≥740N。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15、头罩：头罩面部孔径≤1mm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▲16、手套抗蛰刺性能：抗蛰刺力≥0.88N。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17、手套耐切割性能：割破力≥2N。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18、手套撕破强力≥500N。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19、手套灵巧性能：拾取钢棒直径≤10mm。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20、靴子靴帮抗穿刺性能≥190N。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21、靴子防滑性能：始滑角≥15°。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▲22、靴子电绝缘性能：击穿电压≥5000V，泄露电流≤0.3mA。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23、防蜂服质量≤4.2kg。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24、防蜂服缝纫线阻燃性能：无熔融、烧焦现象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25、防蜂服外观质量：各部位整烫平服、整洁，无烫黄、水渍、亮光。各接缝部位顺直、整齐、平服、牢固、松紧适宜。对称部位基本一致。标签位置正确，标志内容准确清晰。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26、标志：合格。</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4</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ff0000"/>
                <w:sz w:val="15"/>
                <w:szCs w:val="15"/>
                <w:highlight w:val="none"/>
                <w:vertAlign w:val="baseline"/>
                <w:lang w:val="en-US" w:eastAsia="zh-CN"/>
              </w:rPr>
              <w:suppressLineNumbers w:val="0"/>
            </w:pPr>
            <w:r>
              <w:rPr>
                <w:rFonts w:hint="eastAsia" w:ascii="宋体" w:hAnsi="宋体" w:eastAsia="宋体" w:cs="宋体"/>
                <w:b w:val="0"/>
                <w:bCs w:val="0"/>
                <w:i w:val="0"/>
                <w:iCs w:val="0"/>
                <w:color w:val="auto"/>
                <w:sz w:val="15"/>
                <w:szCs w:val="15"/>
                <w:u w:val="none"/>
                <w:lang w:val="en-US" w:eastAsia="zh-CN" w:bidi="ar"/>
              </w:rPr>
              <w:t xml:space="preserve">消防员护膝、护肘</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1、结构组成：护肘护膝护具为四层结构，能有效防止硬物刺伤、划破、固定装置可调节。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2、主要应用场景：用于对膝部、肘部的防护，多层结构，有效防止硬物刺伤、划破。"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1、★符合GB24541-2009《手部防护  机械危害防护手套》标准。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2、提供国家级/省级国家级检验机构出具的检验报告和消防产品认证证书。"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                                                                                                             1、1、结构：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护肘护膝护具为四层结构，能有效防止硬物刺伤、划破、固定装置可调节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2、▲质量：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护肘：≤70g；护膝：≤115g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3、▲抗冲击：</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护肘：将5kg的重锤从100mm高度、自由落体冲击测试样品、冲击力值≥500N；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护膝：将5kg的重锤从100mm高度、自由落体冲击测试样品、冲击力值≥2500N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4、▲耐摩擦性/周期：2级：≥500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5、▲耐刺穿性：2级：≥60N。"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216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ff0000"/>
                <w:sz w:val="15"/>
                <w:szCs w:val="15"/>
                <w:highlight w:val="none"/>
                <w:vertAlign w:val="baseline"/>
                <w:lang w:val="en-US" w:eastAsia="zh-CN"/>
              </w:rPr>
            </w:pPr>
            <w:r>
              <w:rPr>
                <w:rFonts w:hint="eastAsia" w:ascii="宋体" w:hAnsi="宋体" w:eastAsia="宋体" w:cs="宋体"/>
                <w:color w:val="auto"/>
                <w:sz w:val="15"/>
                <w:szCs w:val="15"/>
                <w:highlight w:val="none"/>
                <w:vertAlign w:val="baseline"/>
                <w:lang w:val="en-US" w:eastAsia="zh-CN"/>
              </w:rPr>
              <w:t xml:space="preserve">5</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ff0000"/>
                <w:sz w:val="15"/>
                <w:szCs w:val="15"/>
                <w:highlight w:val="none"/>
                <w:vertAlign w:val="baseline"/>
                <w:lang w:val="en-US" w:eastAsia="zh-CN"/>
              </w:rPr>
              <w:suppressLineNumbers w:val="0"/>
            </w:pPr>
            <w:r>
              <w:rPr>
                <w:rFonts w:hint="eastAsia" w:ascii="宋体" w:hAnsi="宋体" w:eastAsia="宋体" w:cs="宋体"/>
                <w:i w:val="0"/>
                <w:iCs w:val="0"/>
                <w:color w:val="auto"/>
                <w:sz w:val="15"/>
                <w:szCs w:val="15"/>
                <w:u w:val="none"/>
                <w:lang w:val="en-US" w:eastAsia="zh-CN" w:bidi="ar"/>
              </w:rPr>
              <w:t xml:space="preserve">消防全身式安全吊带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1、结构组成：织带、上升器、保护装置组成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2、主要应用场景：用于高空救援防坠落保护"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★3、符合XF494-2004《消防用防坠落装备》标准要求并提供国家级检验机构出具的检验报告。"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"5、织带的宽度和厚度：宽度：(43±2)mm；厚度：(2.0士0.2)mm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6、金属拉环的厚度(10士1)mm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7、正立方向静拉力（指定试验）≥20kN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▲8、静负荷性能：正立方向、水平方向、倒立方向9、安全吊带不应从人体模型上松脱，安全吊带上的带扣和调节装置滑移距离不应超过10mm,而且安全吊带不应出现影响其安全性能的明显损伤。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9、抗冲击性能：安全吊带不应从人体模型上松脱，而且安全吊带不应出现影响其安全性能的明显损伤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▲10、耐高温性能：安全吊带的织带和缝线不应出现融熔、焦化现象。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▲11、金属零件的耐腐蚀性能：盐雾试验后，外观应符合GB/T6461一2002外观等级评定轻微级的要求。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12、标志在消防用防坠落装备的显著位置应有永久性的标志，其内容为：产品型号、用途、批号以及生产日期等。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五挂点全身安全带，内置一体式胸式上升器，腹部连接点可打开，方便连接挽索、上升器等；半硬式、宽大的腰带和腿环，使用透气泡棉作内衬，提高悬挂时的舒适度；配有双保险卡扣。腿环备有自动上锁扣，后背(腰带和腿环之间)带有自锁扣；配有五个备有保护套的成形工具环，两个工具挂环槽，两个工具包连接点，配有携带工具架凹槽，配有预设型胸式上升器的链接，使上升承载受力时更加安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14、腰带调节范围70-93cm，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15、腿环调节范围47-62cm，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16、重量≤1900g；"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17、适配使用者身高165-190cm；"</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6</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ff0000"/>
                <w:sz w:val="15"/>
                <w:szCs w:val="15"/>
                <w:highlight w:val="none"/>
                <w:vertAlign w:val="baseline"/>
                <w:lang w:val="en-US" w:eastAsia="zh-CN"/>
              </w:rPr>
              <w:suppressLineNumbers w:val="0"/>
            </w:pPr>
            <w:r>
              <w:rPr>
                <w:rFonts w:hint="eastAsia" w:ascii="宋体" w:hAnsi="宋体" w:eastAsia="宋体" w:cs="宋体"/>
                <w:i w:val="0"/>
                <w:iCs w:val="0"/>
                <w:color w:val="auto"/>
                <w:sz w:val="15"/>
                <w:szCs w:val="15"/>
                <w:u w:val="none"/>
                <w:lang w:val="en-US" w:eastAsia="zh-CN" w:bidi="ar"/>
              </w:rPr>
              <w:t xml:space="preserve">消防员抢险救援手套</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1.整体要求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▲1.1符合XF633-2006《消防员抢险救援防护服装试验大纲》标准要求，需提供国家认可的具备相关资质的第三方检验检测机构签发的检验报告复印件。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1.2款式要求：采用3D立体设计，自然弯曲，手掌指尖一片式翻转入手指背，袖口采用内扣收缩式。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2.主体结构要求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2.1手掌结构：内层为芳纶针织布，颜色为黄色。外层用牛皮头层反绒加强，颜色为黄色。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2.2手背结构：芳纶双面针织布。颜色为橘红色。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3.技术性能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3.1阻燃性能：掌心面料经、纬向续燃时间≤2s，损毁长度≤10mm ；背面面料经纬向续燃时间0S，损毁长度≤15mm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3.2热稳定性能：收缩率≤3%。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3.3抗切割性能：割破力≥5N。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▲3.4耐撕破性能：掌心面和背面材料≥100N。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▲3.5抗机械刺穿性能：掌心面穿刺力≥250N，背面≥120N。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3.6耐摩擦性能：掌心面材料≥5000次。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3.7接缝断裂强力：≥380N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3.8灵巧性能：徒手控制百分比为≤120%。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3.9抓握性能：拉重力比为≥85%。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3.10穿戴性能：穿戴时间≤5S。1.1符合《消防员抢险救援防护服装试验大纲》标准要求，需提供国家认可的具备相关资质的第三方检验检测机构签发的检验报告复印件。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1.2款式要求：采用3D立体设计，自然弯曲，手掌指尖一片式翻转入手指背，袖口采用内扣收缩式。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2.主体结构要求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2.1手掌结构：内层为芳纶针织布，颜色为黄色。外层用牛皮头层反绒加强，颜色为黄色。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2.2手背结构：芳纶双面针织布。颜色为橘红色。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3.技术性能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3.1阻燃性能：掌心面料经、纬向续燃时间≤2s，损毁长度≤10mm ；背面面料经纬向续燃时间0S，损毁长度≤15mm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3.2热稳定性能：收缩率≤3%。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3.3抗切割性能：割破力≥5N。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▲3.4耐撕破性能：掌心面和背面材料≥100N。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▲3.5抗机械刺穿性能：掌心面穿刺力≥250N，背面≥120N。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3.6耐摩擦性能：掌心面材料≥5000次。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3.7接缝断裂强力：≥380N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3.8灵巧性能：徒手控制百分比为≤120%。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3.9抓握性能：拉重力比为≥85%。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3.10穿戴性能：穿戴时间≤5S。</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192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宋体" w:hAnsi="宋体" w:eastAsia="宋体" w:cs="宋体"/>
                <w:color w:val="000000"/>
                <w:sz w:val="15"/>
                <w:szCs w:val="15"/>
                <w:highlight w:val="none"/>
                <w:vertAlign w:val="baseline"/>
                <w:lang w:val="en-US" w:eastAsia="zh-CN"/>
              </w:rPr>
              <w:t xml:space="preserve">7</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ff0000"/>
                <w:sz w:val="15"/>
                <w:szCs w:val="15"/>
                <w:highlight w:val="none"/>
                <w:vertAlign w:val="baseline"/>
                <w:lang w:val="en-US" w:eastAsia="zh-CN"/>
              </w:rPr>
              <w:suppressLineNumbers w:val="0"/>
            </w:pPr>
            <w:r>
              <w:rPr>
                <w:rFonts w:hint="eastAsia" w:ascii="宋体" w:hAnsi="宋体" w:eastAsia="宋体" w:cs="宋体"/>
                <w:i w:val="0"/>
                <w:iCs w:val="0"/>
                <w:color w:val="auto"/>
                <w:sz w:val="15"/>
                <w:szCs w:val="15"/>
                <w:u w:val="none"/>
                <w:lang w:val="en-US" w:eastAsia="zh-CN" w:bidi="ar"/>
              </w:rPr>
              <w:t xml:space="preserve">消防员抢险救援服</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1.整体要求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▲1.1符合XF633-2006《消防员抢险救援防护服装试验大纲》标准要求，需提供国家级消防研究所出具的检验报告复印件。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 款式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2.1服装款式、号型符合国家消防救援局最新统型要求。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2.2颜色：抢险救援防护服主体颜色为橘红色，肩背部、口袋袋盖为火焰蓝色。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2.3服装面料采用单层织物，为原液染色芳纶、阻燃粘胶纤维等交织而成的双重组织。具有防静电、阻燃、轻便、柔软、弹性、抗拉力强，外层防水拒油里层吸湿排汗等性能。克重：（200±10）g/m2。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2.4拉链：上衣前门襟和裤子前襟处采用了不小于8号的树脂拉链，颜色为橘红色。</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3.技术要求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▲3.1阻燃性能: 经纬向损毁长度≤40mm，续燃时间为0s，且无熔融、滴落现象；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▲3.2断裂强力:经向断裂强力≥800N；纬向断裂强力≥800N；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▲3.3撕破强力：面料经向撕破强力≥200N、纬向撕破强力≥200N；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3.4接缝强力：≥700N；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3.5热稳定性能：经（180±5）°C热稳定性能试验后，沿经、纬方向尺寸变化率≤1%，且试样表面应无明显变化。</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3.7橘红和火焰蓝两种面料色牢度：面料的耐水摩擦色牢度、耐洗沾色色牢度、耐光色牢度不小于4级；</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3.8针距密度：明暗线≥12针/3cm，包缝线≥9针/3cm；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3.9防静电性能：≤0.5μC。</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3.10质量：≤1.2kg。</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144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21"/>
                <w:szCs w:val="21"/>
                <w:highlight w:val="none"/>
                <w:vertAlign w:val="baseline"/>
                <w:lang w:val="en-US" w:eastAsia="zh-CN"/>
              </w:rPr>
              <w:t xml:space="preserve">包三</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ff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消防救生衣</w:t>
            </w:r>
            <w:r/>
          </w:p>
        </w:tc>
        <w:tc>
          <w:tcPr>
            <w:shd w:val="clear" w:color="auto" w:fill="auto"/>
            <w:tcW w:w="5078" w:type="dxa"/>
            <w:vAlign w:val="center"/>
            <w:textDirection w:val="lrTb"/>
            <w:noWrap w:val="false"/>
          </w:tcPr>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"一、基本描述</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1、结构组成：衣灯带，粘扣，反光带，浮绳，扣件，定位带，缚带，包布，浮材等。 </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2、主要应用场景：适用于消防部队抗洪抢险和处置水域事故。 "</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"二、标准规范及检验报告</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▲3、符合 GB 4303-2008 船用救生衣标准要求及《消防水域救援个人防护装备试验大纲》并提供国家级权威检验机构出具的检验报告。 "</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"三、检验报告内参数</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4、救生衣的颜色为橙色。"</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5、救生衣的系固采用插扣和拉链形式。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6、救生衣的属具及配件无尖角、毛刺等导致穿着者和被救者受伤的缺陷。</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7、救生衣上逆向反光带的总面积不小于 400cm²，且穿着人员在水中时，水面以上的救生衣外表面所贴逆向反光带的总面积不小于 200cm²。</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8、救生衣安全气囊与救生衣体连接可靠，当安全气囊受损或失效后能进行更换且不对救生衣体产生破坏。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9、救生衣体上配有便携气胀式救生圈，且使用时能与救生衣分离。</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10、救生衣装有能防止穿着人员入水后救生衣上浮窜动的裆带。</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▲11、救生衣固有浮力材料提供的浮力≥70N。</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▲12、救生衣安全气囊提供的浮力≥145 N。</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▲13、救生衣上所配置的气胀式救生圈提供的浮力≥196N。</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▲14、在安全气囊未充气状态下，救生衣在淡水中浸泡 24h后，其浮力损失为≤3.5%。</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▲15、安全气囊充气后，救生衣在淡水中浸泡 24h 后，其浮力损失为≤3%。</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▲16、气胀式救生圈充气后在淡水中浸泡 24h 后，其浮力损失为≤1.5%</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17、救生衣衣身能承受≤1200N 的作用力≤30min 而不损坏。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18、救生衣肩部能承受≤900N 的作用力≤30min 而不损坏。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19、安全气囊与救生衣体之间能承受≤900N 的作用力而不发生脱离或损坏。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20、裆带与救生衣体之间能承受≤900N 的作用力而不发生脱离或损坏。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21、在安全气囊未充气情况下，穿着人员穿着救生衣以任意方式下水，救生衣能在 5 秒内使人体处于直立姿态，且人嘴高出水面 120mm 以上。在安全气囊充气的情况下，救生衣能在 3s 内使人体处于后仰姿。</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22.安全气囊充气情况下，救生衣能 3s 使人体处于后仰姿态，且人体躯干与铅垂线的角度不小于 30°，人嘴高出水面120mm 以上。</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23.落水和跳水穿着人员落水及跳水后，救生衣符合下列要求∶（1）. 救生衣不发生明显移位或对穿着人员造成伤害; （2）. 没有影响其水中姿态及浮力的破损;（3）不对其属具及附件造成破坏。</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"四、非检验报告内参数</w:t>
            </w:r>
            <w:r/>
          </w:p>
          <w:p>
            <w:pPr>
              <w:jc w:val="left"/>
              <w:keepLines w:val="0"/>
              <w:keepNext w:val="0"/>
              <w:pageBreakBefore w:val="0"/>
              <w:spacing w:line="240" w:lineRule="auto"/>
              <w:widowControl/>
              <w:rPr>
                <w:rFonts w:hint="eastAsia" w:ascii="Calibri" w:hAnsiTheme="minorHAnsi" w:eastAsiaTheme="minorEastAsia" w:cstheme="minorBidi"/>
                <w:sz w:val="20"/>
                <w:szCs w:val="24"/>
                <w:lang w:val="en-US" w:eastAsia="zh-CN" w:bidi="ar-SA"/>
              </w:rPr>
              <w:suppressLineNumbers w:val="0"/>
            </w:pPr>
            <w:r>
              <w:rPr>
                <w:rFonts w:hint="eastAsia" w:ascii="Calibri" w:hAnsiTheme="minorHAnsi" w:eastAsiaTheme="minorEastAsia" w:cstheme="minorBidi"/>
                <w:sz w:val="20"/>
                <w:szCs w:val="24"/>
                <w:lang w:val="en-US" w:eastAsia="zh-CN" w:bidi="ar-SA"/>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水域救援漂浮救生绳(米)</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▲1、结构组成：水域救援漂浮救生绳为包芯绳结构，主承重部分由连续纤维制成，整绳粗细均匀、结构一致。绳皮编入1股贯穿全绳的蓄光发光纤维；</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2、主要应用场景：用于水域事故处置、水上救生、夜间或昏暗场合人员疏导、方向指示、危险标示、物资绑缚或拖拉之使用；"</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"二、标准规范及检验报告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★3、符合《消防水域救援漂浮救生绳试验大纲》并提供国家级检验机构出具的检验报告。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"三、检验报告内参数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▲4、直径：9.5mm；</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▲5、破断强度：断裂强力≥35KN;</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▲6、延伸率：≤3％；</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▲7、漂浮性能：经48h的漂浮性能试验，救生绳能始终漂浮在水面上；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10、线密度：＞45g/m；"</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"四、非检验报告内参数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200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消防员水域救援头盔</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 、结构组成：盔体、帽箍。</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 、主要应用场景：用于消防员灭火救援作业中头部防护。"</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★3、符合《消防员水域救援防护服试验大纲》标准要求。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▲4、提供国家级检验机构出具的检验报告。"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消防员水域救援防护头盔由帽壳、缓冲层、下亥页带等组成，有可安装附件的接口。消防员水域救援防护头盔的保护范围符合xf44-2015《消防头盔》中全盔式头盔的要求。消防员水域救援防护头盔的帽壳有开孔排水设计。消防员水域救援防护头盔的头围和下亥页带尺寸能调节，消防员水域救援防 护头盔有耳部听力保障设计，消防员水域救援防护头盔的帽壳颜色为红色。</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6、击收能冲吸性：最大冲击力(N)≥3500。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"7、抗冲击加速度性能：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▲7.1帽顶部：最大冲击加速度(gn)：≥140；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▲7.2帽前部：最大冲击加速度(gn) ：≥380；加速度＞150gn,持续时间(ms)5.5 ；加速度＞200gn,持续时间(ms)2.8；</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▲7.3帽侧部:最大冲击加速度(gn)≥385；加速度＞150gn,持续时间(ms)5.8；加速度＞200gn,持续时间(ms)2.7。"</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8、耐穿透性能:钢锥未穿透头盔与头模产生接触。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▲9、侧向刚性:帽壳最大变形(mm):≤30，卸载后变形 (mm) ：≤2。</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▲10、下颏带抗拉强度延伸长度≥17(mm)。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11、质量(不包括附件)(g):≤550。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激流救生衣</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1、整体结构：采用背心式设计，胸襟采用塑钢开口拉链，并使用塑料拉头浮力片固定于布料夹层内，后领口手提式松紧提拉带设计。面料采用方形针织压力点和1680D材质的尼龙面料</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2、主要应用场景：水域救援"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★3、符合激流救生衣试验大纲并提供国家级检验机构出具的检测报告"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"▲5、急流救援型救生衣浮力120-160N。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▲6、救生衣能承受3200N的作用力30min而不损坏。</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▲7、救生衣肩部能承受900N的作用力30min而不损坏。</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▲8、档带与救生衣之间能承受900N的作用力而不发生脱离或损坏。</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9、产品属具：（1）每件救生衣配有细索系牢的哨笛1只。使用时，穿着者任何一只手能将哨笛移除或放入。（2）每件救生衣配有细索系牢的示位灯1只。（3）牛尾绳一根</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10、快脱带：人员穿着救生衣以任一方式下水，能在10s解开快脱带，且快脱带开启力不大于110N。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▲11、快脱带在系紧状态下能承受不大于2500N的拉力而不发生误开启。</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12、浮力损失：救生衣在淡水中浸泡24h后，其浮力损失≤1%。</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浸水性能：（1）水中姿态：人员穿着救生衣以任意方式下水，在自由状态下漂浮，且人嘴高出水面120mm以上。（2）落水和跳水；穿着救生衣人员落水及跳水后：救生衣不发生明显移位或对穿着人员造成伤害；没有影响其水中姿态及浮力的破损；不对其属具及附件造成破坏</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腰部两侧设计≥2组梯型扣，尼龙织带调整松紧≥2公分，底部尼龙带≥4公分加固。面料采用方形针织压力点和1680D材质的尼龙面料。采用背心式设计，胸襟采用塑钢开口拉链，并使用塑料拉头浮力片固定于布料夹层内，后领口增加手提式松紧提拉带设计，方便于携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▲15、环绕胸部设置一条多功能腰带，前胸是设置PFD自救装置，后背部设有牵引绳连接拉环，拉环拉绳破断力≥1200kg。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16、活饵快卸系统：环绕胸部腰带一条，宽5cm的尼龙织带，使用一组不锈钢日型环及塑钢固定，拉环上配置一根快速牵引绳，可以固定于肩部，不影响救援动作。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17、正面配置2个大容量排水网布构成的置物袋（可拆卸式设计），肩部配置一个对讲机口袋（可拆卸式设计）。后背同时也增加一个大容量置物袋（可拆卸式设计）。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18、前后面缝制≥1m的反光条，下摆部带有连接点，用于连接腿带固定带，以防水流水浪将救生衣冲脱。救生衣装有能防止穿着人员入水后救生衣上浮窜动的裆带。"</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救生圈</w:t>
            </w:r>
            <w:r/>
          </w:p>
        </w:tc>
        <w:tc>
          <w:tcPr>
            <w:tcW w:w="5078"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1、整体结构：救生圈采用聚乙烯中空成型复合救生圈，采用高密度聚乙烯为壳体，内充聚氨酯泡沫塑料为垫料，浮力材料为聚氨酯泡沫，逆反反光片。</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★1、符合GB/T4302-2008《救生圈》标准要求并提供国家级检验机构出具的检验报告。</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"▲4、重量≥2.50kg /个；</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▲5、浮力≥14KG；</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6、尺寸：外径≥700mm，内径≥440mm，厚度≥100mm；</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7、能在淡水中支撑≥14.5kg的铁块时间≥24小时。"</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"四、非检验报告内参数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湿式水域救援服</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1、结构组成：消防员水域救援湿式防护服为上装和下装一体结构，裤脚和袖口设有可调节开口拉链，在肩部、臀部和膝部附有耐磨增强的补强材料。</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2、主要应用场景：主要应用于水域搜救，水域救援，抗洪抢险等领域。防止礁石及水中水母、海葵等生物攻击，使身体不受伤害。"</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★3、符合《消防员水域救援防护服试验大纲》标准要求。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▲4、提供国家级检验机构出具的检验报告。"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5、拉伸强度：经纬向≥130N。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6、接缝强度：经纬向≥100N。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7、耐磨性能：服装的面料经2000次循环摩擦后，试样末被磨穿。</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8、服装的补强材料经6000次循环摩擦后，试样末被磨穿。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9、耐静水压性能：服装的面料在静水压100kPa下5min后，试样未出现水滴渗漏。</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10、穿着时间：≤30S。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11、穿着者可活动性：穿着服装的人员能行走、爬行、游泳。</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▲12、质量(g)：小于等于1700g。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13、高弹氯丁橡胶材质，厚度≥2.5mm；肩部和胳臂处增加不少于1mm的。                                                                                                                                   </w:t>
            </w:r>
            <w:r>
              <w:rPr>
                <w:rFonts w:hint="eastAsia" w:ascii="宋体" w:hAnsi="宋体" w:eastAsia="宋体" w:cs="宋体"/>
                <w:color w:val="000000"/>
                <w:sz w:val="15"/>
                <w:szCs w:val="15"/>
                <w:highlight w:val="none"/>
                <w:vertAlign w:val="baseline"/>
                <w:lang w:val="en-US" w:eastAsia="zh-CN" w:bidi="ar-SA"/>
              </w:rPr>
              <w:t xml:space="preserve">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14、所有缝线处采用暗针缝制，并且做加固压胶处理。</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15、裤脚和袖口设有可调节开口大小的拉链。</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16、臀部和膝部位置敷有用于增强耐磨性的补强材料。</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17、手臂部和腿部都有荧光反射区；手臂印有RESCUE反光字样。</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                                                                                                                                   </w:t>
            </w:r>
            <w:r>
              <w:rPr>
                <w:rFonts w:hint="eastAsia" w:ascii="宋体" w:hAnsi="宋体" w:eastAsia="宋体" w:cs="宋体"/>
                <w:color w:val="000000"/>
                <w:sz w:val="15"/>
                <w:szCs w:val="15"/>
                <w:highlight w:val="none"/>
                <w:vertAlign w:val="baseline"/>
                <w:lang w:val="en-US" w:eastAsia="zh-CN" w:bidi="ar-SA"/>
              </w:rPr>
              <w:t xml:space="preserve">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水域救援手套</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1、结构组成：消防员水域救援防护手套为五指分离式。消防员水域救援防护手套与水域救援服袖口配合穿戴，手套口有收紧设计，能限制杂物进入手套内。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2、主要应用场景：用于消防员灭火救援作业中手部防护。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★3、满足《消防员水域救援防护服试验大纲》并提供提供国家级权威检验机构出具的检验报告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4、结构款式：消防员水域救援防护手套为五指分离式。掌心和手 指部位敷有用于增强外层耐磨性的材料。手套袖筒长度超出腕骨 ≥60mm。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5、耐磨性能 (次)：掌心面材料：≥5000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6、抗切割性能割破力(N)：掌心面材料：＞5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7、撕破强力：掌心面材料≥102</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▲8、抗刺穿性能：掌心面刺穿力(N)≥122</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▲9、抓握性能：拉重力比(%)≥85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10、穿戴性能： 穿戴时间(s)≤7</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水域救援靴</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1、结构组成：由靴头、靴外底、靴跟、带舒适层的靴帮、带防刺穿层的靴底等组成</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2、主要应用场景：用于消防员水域救援作业中脚部防护。"</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★3、符合《消防水域救援防护靴试验大纲》并提供国家级检验机构出具的检验报告。"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5、结构款式:消防员水域救援防护靴由外底、靴外帮、内置袜套、带防刺穿层的靴内底等部分组成,从靴内后跟中央起至靴口最低处的高度为 220mm,靴内底防刺穿层覆盖整个靴内底，在不损坏整靴的情况下 未被移动,跟部有配合脚蹊穿戴的防脱结构,以绑带形式紧固，并有防意外松脱设计,主体颜色采用黑色。</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"6、物理机械性能: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▲6.1靴帮:抗张强度:横向（N/mm）≥15，纵向（N/mm）≥15；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▲6.2靴面厚度（mm）5±10%，撕裂强度（N/mm）≥165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▲6.3外底: 断裂拉伸强度（MPa）≥19，拉断伸长率（%）≥500。"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7、靴帮耐弯折性能:无裂纹、松面、掉浆等现象。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8、靴帮抗切割性能:未被割穿。</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▲9、靴帮抗刺穿性能:最大抗刺穿力（N）≥90。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▲10、靴底抗刺穿性能:抗刺穿力（N）≥1300。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11、外底耐弯折性能:断裂长度（mm）≤10。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12、靴帮/外底结合强度（未釆用缝合式结构）（N/mm）: ≥5。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13、防滑性能:始滑角（°）：≥15。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14、金属衬垫耐腐性能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15、质量：≤1.5KG。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割绳刀</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1、结构组成：由钛合金、刀鞘、刀柄部件组成。</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2、主要应用场景：采用优质潜水材质--TC4钛合金,弧形刀刃，重量轻，优秀的抗海锈能能力，适合海洋环境和水下环境使用。"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▲3、提供国家级检验机构出具的检验报告。"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4、刀背设有一段开刃的锯齿，锯齿排布均匀，刃口锋利，可快速锯断树木、缠绕的网具、绳索、水草等。</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5、刀刃设有U形倒钩，能够快速割断缠绕的网具、绳索。</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6、刀头型式为平头，可作为一字螺丝刀使用。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7、ABS防滑刀柄，两侧向内凹陷，贴合手指，握持舒适受力。</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8、刀柄末端设有绳孔，用于穿绳系固，防止使用过程中潜水刀脱手。</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9、刀鞘和刀身保险链接,保证水下刀身和刀鞘不会轻易分离，一按式开关设计同时，紧急情况时，让刀体安全快速地拔出刀鞘槽，且方便单手操作。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▲10、刀头形式：平头。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▲11、刀体材料：钛合金。</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▲12、硬度：≥39HRC。</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▲13、刀鞘材料：ABS，刀柄材料：ABS。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▲14、设计规格：刀长17(±1)CM，刀片长刀长约7(±1)CM，刀片厚刀长约3MM。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机动橡皮舟、舷外机</w:t>
            </w:r>
            <w:r/>
          </w:p>
        </w:tc>
        <w:tc>
          <w:tcPr>
            <w:tcW w:w="5078" w:type="dxa"/>
            <w:vAlign w:val="center"/>
            <w:textDirection w:val="lrTb"/>
            <w:noWrap w:val="false"/>
          </w:tcPr>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机动橡皮舟："一、基本描述：</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1、组成结构：船，船桨，高压充气泵，维修工具。</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2、主要应用场景：适用于环境恶劣，水流湍急的防汛救援工作的一款功能型充气艇。"</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3、符合GB/T 19001-2016执行标准。</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4、提供船级社认证。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5、★提供CNAS认证。"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"三、检验报告内参数</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▲1、船长 4200±50mm，船宽 1820±30mm，船高 585±20mm，提供检测证书为佐证。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▲2、气囊数 3+3+2 个，结构:船仓“V”型充气拉丝底板，M 型艇底，船底增项，水阻低，破水效果更好；底部</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及船头附带夹网布装甲，增加船体的耐磨性与防穿刺强度。</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3、艇净重≤77KG，干舷≥317mm，承载重量≥920KG，提供检测证书为佐证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▲4、艇身材质：德国进口米勒 PVC 夹网材质，厚度≤0.9mm。</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5、船体结构：底板为一体式三气室拉丝底板。底部水刀两端为坡面设计，水刀之间前端间距≥后端间距。根据</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流体力学原理，采用涡旋式导流倾斜船艉及涡旋式导流水刀，速度更快，倒车寻迹性更强，更灵活。</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6、艇体工艺：浮筒采用热风技术、采用抛边工艺，气室密封性和耐压性更强。</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7、耐压性：满载状态，船艇各气囊加压至 1.1 倍额定压力后静置 30min，无异常。提供国家消防装备质量监</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督检验中心出具的检测报告作为佐证。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8、★气密性：空载状态，浮筒额定压力充气至 0.025Mpa 后，静置 60min 后剩余压力为 0.025Mpa；空载状</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态，龙骨额定压力充气至 0.035Mpa 后，静置 60min 后剩余压力为 0.035Mpa，提供国家消防装备质量监督</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检验中心出具的检测报告作为佐证。</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9、★安全及性能要求：静态稳性≤16°；空载状态，排出 500L 水所用时间≤120s；载重 460kg 时，配30马力</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船外机航速≥25km/h；空载状态，航速≥16km/h 时，左右回转直径均≤6.8m（提供国家消防装备质量监督检</w:t>
            </w:r>
            <w:r/>
          </w:p>
          <w:p>
            <w:pPr>
              <w:pStyle w:val="693"/>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验中心出具的检测报告作为佐证）。</w:t>
            </w:r>
            <w:r/>
          </w:p>
          <w:p>
            <w:pPr>
              <w:pStyle w:val="693"/>
              <w:numPr>
                <w:ilvl w:val="0"/>
                <w:numId w:val="0"/>
              </w:numPr>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vertAlign w:val="baseline"/>
                <w:lang w:val="en-US" w:eastAsia="zh-CN" w:bidi="ar-SA"/>
              </w:rPr>
              <w:t xml:space="preserve">10、</w:t>
            </w:r>
            <w:r>
              <w:rPr>
                <w:rFonts w:hint="eastAsia" w:ascii="宋体" w:hAnsi="宋体" w:eastAsia="宋体" w:cs="宋体"/>
                <w:color w:val="000000"/>
                <w:sz w:val="15"/>
                <w:szCs w:val="15"/>
                <w:highlight w:val="none"/>
                <w:vertAlign w:val="baseline"/>
                <w:lang w:val="en-US" w:eastAsia="zh-CN" w:bidi="ar-SA"/>
              </w:rPr>
              <w:t xml:space="preserve">艇身配置：底部稳定水刀一对；"</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舷外机："一、基本描述</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1、结构组成：发动机，叶片，壳体，控制开关，油箱等</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2、主要应用场景：用于抢险救援时使用。"</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"★二、标准规范及检验报告：符合《CB/T 4505-2020 舷外机通用技术规范》要求</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三、检验报告内参数：无</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四、非检验报告内参数：</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4.排量:≥ 740CM3</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5.缸径X行程: ≥65.0 X 75.0MM</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6.输出功率: ≥22.5KW@5500R/MIN</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7.燃油感应系统:燃油喷射</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8.弦外机轴长≤ 390MM </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▲9.重量: ≤ 75KG</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10.启动方式:电启动、拉绳启动</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11.润滑系统:湿槽润滑</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12.熄火绳不少于10个。</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13.配备浆片保护罩。</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14.配备电动充气泵（特殊需求）</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15、冷却系统：水冷</w:t>
            </w:r>
            <w:r/>
          </w:p>
          <w:p>
            <w:pPr>
              <w:pStyle w:val="693"/>
              <w:numPr>
                <w:ilvl w:val="0"/>
                <w:numId w:val="0"/>
              </w:numPr>
              <w:keepLines w:val="0"/>
              <w:keepNext w:val="0"/>
              <w:pageBreakBefore w:val="0"/>
              <w:spacing w:after="0" w:line="240" w:lineRule="auto"/>
              <w:rPr>
                <w:rFonts w:hint="eastAsia" w:ascii="宋体" w:hAnsi="宋体" w:eastAsia="宋体" w:cs="宋体"/>
                <w:i w:val="0"/>
                <w:iCs w:val="0"/>
                <w:color w:val="000000"/>
                <w:sz w:val="15"/>
                <w:szCs w:val="15"/>
                <w:u w:val="none"/>
                <w:lang w:val="en-US" w:eastAsia="zh-CN" w:bidi="ar"/>
              </w:rPr>
            </w:pPr>
            <w:r>
              <w:rPr>
                <w:rFonts w:hint="eastAsia" w:ascii="宋体" w:hAnsi="宋体" w:eastAsia="宋体" w:cs="宋体"/>
                <w:i w:val="0"/>
                <w:iCs w:val="0"/>
                <w:color w:val="000000"/>
                <w:sz w:val="15"/>
                <w:szCs w:val="15"/>
                <w:u w:val="none"/>
                <w:lang w:val="en-US" w:eastAsia="zh-CN" w:bidi="ar"/>
              </w:rPr>
              <w:t xml:space="preserve">16、油箱容积≥24L</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机动橡皮舟1个、舷外机3个</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15"/>
                <w:szCs w:val="15"/>
                <w:highlight w:val="none"/>
                <w:vertAlign w:val="baseline"/>
                <w:lang w:val="en-US" w:eastAsia="zh-CN"/>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水域抛绳包</w:t>
            </w:r>
            <w:r/>
          </w:p>
        </w:tc>
        <w:tc>
          <w:tcPr>
            <w:tcW w:w="5078" w:type="dxa"/>
            <w:vAlign w:val="center"/>
            <w:textDirection w:val="lrTb"/>
            <w:noWrap w:val="false"/>
          </w:tcPr>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"一、基本描述：</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1、组成结构：绳包、水上警示灯、扣锁等。</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2、主要应用场景：用于抛向水中被困人员漂浮绳的功能。"</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★3、提供省级检验机构出具的检验报告</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"三、检验报告内参数</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▲5、断裂强力≥4.2KN"</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6、配置直径 12±1mm，拉力≥30KN,长度≥20m 的救援绳 1 根。</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7、绳索浸泡≥12小时，下降距离水面≤1CM。</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8、配备水上救生手环≥1个。</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9、带有连接扣锁≥2个。</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10、镂空手提收纳包 1 个。</w:t>
            </w:r>
            <w:r/>
          </w:p>
          <w:p>
            <w:pPr>
              <w:pStyle w:val="693"/>
              <w:jc w:val="left"/>
              <w:keepLines w:val="0"/>
              <w:keepNext w:val="0"/>
              <w:pageBreakBefore w:val="0"/>
              <w:spacing w:after="0" w:line="240" w:lineRule="auto"/>
              <w:rPr>
                <w:rFonts w:hint="eastAsia" w:ascii="宋体" w:hAnsi="宋体" w:eastAsia="宋体" w:cs="宋体"/>
                <w:color w:val="000000"/>
                <w:sz w:val="15"/>
                <w:szCs w:val="15"/>
                <w:highlight w:val="none"/>
                <w:vertAlign w:val="baseline"/>
                <w:lang w:val="en-US" w:eastAsia="zh-CN" w:bidi="ar-SA"/>
              </w:rPr>
            </w:pPr>
            <w:r>
              <w:rPr>
                <w:rFonts w:hint="eastAsia" w:ascii="宋体" w:hAnsi="宋体" w:eastAsia="宋体" w:cs="宋体"/>
                <w:color w:val="000000"/>
                <w:sz w:val="15"/>
                <w:szCs w:val="15"/>
                <w:highlight w:val="none"/>
                <w:vertAlign w:val="baseline"/>
                <w:lang w:val="en-US" w:eastAsia="zh-CN" w:bidi="ar-SA"/>
              </w:rPr>
              <w:t xml:space="preserve">11、水上警示灯不少于2个。                                                                  12、晚上具有明显放光作用。"</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包四</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手提式强光照明灯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▲1、结构组成：方位灯、充电口、灯具、提手、电量显示、按键开关。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2、主要应用场景：适合于消防行业日常灭火、救援强光手提照明及指挥现场工作照明。</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▲4、出具的检测检验报告应包含检测标准依据：GB30734-2014《消防员照明灯具》。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▲5、提供国家防爆产品质量检验中心出具的防爆合格证。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6、外观要求：外观应清洁、光滑、整齐、无污损、腐蚀、划伤、毛刺、裂痕、变形现象。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7、灯具的供电电源应采用可充电电池；灯具的充电器应采用插头与交直流转换器分离式结构，灯具或充电器应设置充点电保护电路；灯具的防爆性能应符合GB3836.1-2010的要求。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8、防爆等级：ExdiaIICT6Gb隔爆+本质安全型防爆设计，适合在一区、二区各种易燃易爆场所使用防护等级：IP68 提供防爆合格证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9、灯具应具备强弱光切换功能，具备闪烁方式的低电压警告功能。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10、质量≦1.2kg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▲11、照度：强光平均值≧2500lx，强光最小值≧1600lx；弱光平均值≧1600lx，弱光最小值≧900lx。</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▲12、连续稳定工作时间：强光≧300min，弱光≧600min。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13、低电压报警时间：强光≧14s，弱光≧14s。</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14、低电压状态下连续工作时间：强光≧15min，弱光≧30min。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15、绝缘性能：在常温环境下，灯具带电端子与外壳间的绝缘电阻应不小于20MΩ，交变湿热试验后应不小于5MΩ。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16、耐电压性能：灯具应耐受频率为50Hz±0.5Hz，交流电压为500V±50V，历时60s±5s的耐电压试验，试验过程中，灯具不应出现表面飞弧和击穿现象、试验结束后，灯具应能正常进行开、关和强、弱光切换。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17、低温性能：在-25±2℃的温度下，持续2h，灯具应能正常进行开、关和强、弱光切换。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18、高温性能：在55±2℃的温度下，持续2h，灯具应能正常进行开、关和强、弱光切换。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19、开关经50000次可靠性试验后应保持完好，且灯具应能正常点亮并实现强、弱光切换。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▲20、外壳防护等级为IP66/IP68，潜水深度1.5m，持续时间1h。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灯具标志：灯具明显位置处应有清晰且与灯具为一体的标志，包括以下内容：a）产品名称；b）产品型号：c）防护等级（等级为IP66/IP68时，需标注潜水深度和持续时间）；d）防爆标志；e）生产日期；f）产品编号；e）生产厂名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22、额定电压：≥DC22.2V</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23、额定容量≥2.5Ah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▲24、光源功率：≥2*12W（聚光），≥6W（泛光）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25、充电时间：≤3h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26、外形尺寸：≤φ80x200mm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27、聚光强光≥4h，聚光工作光≥8h，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泛光单侧强光≥7h，泛光双侧强光≥3h，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泛光单侧工作灯≥15h，泛光双侧工作灯≥7h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28、灯具需采用双光型光源配置，需同时具有暖白光源及冷白光源可通过开关控制实现冷暖色光线的转换，且外部具备本安式提手</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29、灯具需具有聚光（灯头）、泛光（灯体两侧）、红蓝警示（灯体两侧）多种工作模式适用于救援作业照明</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30、灯具可手提、肩挎、磁力吸附三种携带方式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▲31、灯具具有4段式LED电量显示装置，能清晰呈现使用剩余电量，且尾部设计有高穿透性、高可视性方位灯，能在作业现场清晰显示持灯人员位置（需提供样品测试）</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32、灯具需采用快充设计，整体充电时间不大于3h。需具有多段式LED电量显示装置。灯具需具备低电压警示功能。</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移动照明灯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1、额定电压≦DC22.2V、防护等级≧IP66、光源种类及功率：LED灯 100W（防爆合格证内体现）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2、续航时间：工作光模式≧15h中光模式≧10h 强光模式≧5h（CNAS检验报告中体现）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3、光通量：工作光模式≧5300（lm）中光模式≧7000（lm）强光模式≧11000（lm）；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4、单向照明10m处中心点照度值：工作光模式≧300lx；中光模式≧450lx；强光模式≧700lx。（CNAS检验报告中体现）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5、灯具亦可通过手机APP与灯具蓝牙连接实现灯具开关/调光，警示灯亮灭、无级调光、查看灯具剩余电量等操控动作，空旷环境下蓝控制距离≥100m（CNAS检验报告中体现）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6、轻按灯具控制板组件“警示”按键可以依次分别开启3种警示灯闪烁状态：双箭头、右箭头、左箭头、警示关闭。（CNAS检验报告中体现）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灯具具有水平仪在调整支撑腿时可作为参考，升至最高状态三角支架可满足6级风力不出现倾倒，可在城市道路及高速路斜坡使用，灯具支撑腿或升降杆可进行调节，满足在非水平面正常使用需求（参考公路及道路建设规范坡度小于10°）（CNAS检验报告中体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8、绝缘电阻：照明装置外部带电端子与机壳之间以及电源接线端子与地之间的绝缘电阻应不小于150MΩ。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9、照明装置工作噪声不大于90dB</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10、重量≤8Kg、收起长度≤0.9m；升起高度 ≥2.2m、充电时间：≤6h，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11、产品防爆设计 防爆标志：Ex eb ib mb IIC T6 Gb。（提供防爆合格证）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12、符合GB 26755-2011检测依据，出具带有CNAS标识的检测报告，出具国家级检测机构出具的防爆合格证。</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医药急救箱</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1、主要应用场景：适用于盛放常规外伤和化学伤害急救所需的敷料、药品和器械等。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3、材质：铝板或铝合金；</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▲4、长度≤320mm；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▲5、重量≤3.5kg；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主要配置：弹性绷带、消毒纱布片、医用胶带、医用手套、三角绷带、不锈钢剪刀、安全别针、创口贴、急救毯、酒精片、棉球、塑料镊子、急救呼吸器、吸血垫、烧伤敷料、止血带、冷敷袋、热敷袋、体温计、碘伏片、高分子急救夹板、一次性口罩、紧急联系卡、眼垫、急救手册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移车器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★1、结构组成：万向脚轮，支撑臂，套接横梁，铝合金滚筒，内置液压油泵，挂钩，踏板，安全销等。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2、主要应用场景：使用移车器，可及时疏通道路，为在消防抢险时及时清除乱停乱放、阻碍交通的车辆。"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★未找到标准，提供国家级检测报告"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3、重量：≤20kg/个</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▲4、单个承重1000公斤（四个最大承重4000公斤），支起车轮离地间隙≥30毫米。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5、适用车型：大中型轿车、中型越野车以下车型（适用直径70cm以下车轮）。"</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救生照明线</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1、结构组成：供电源、发光线、绕线盘</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2、在可视度低的环境场所，用于指引逃生路线。"</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★3、产品符合国家 GB 26783-2011《消防救生照明线》标准要求。并提供国家级检验机构出具的检验报告。"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▲4、发光亮度：≥15cd/m2；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5、闪烁频率：1Hz-2Hz；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6、质量：≤5Kg；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7、绝缘电阻：≥50MΩ；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▲8、常亮工作时间：≥8h；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▲9、闪亮工作时间：≥16h；</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10、表面最高温度：≤60℃；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11、单条线体拉力：≥500N；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12、系统供电电压：DC12V；</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▲13、线体长 ≥100 米，线体具有 360°全方位防水设计，支持消防水枪冲击和长时间泡水测试。</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14、电源和绕线盘一体化结构设计，无需额外电源箱供电。</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15、连续工作时间内，照明线的发光亮度≥15cd/m2；工作模式至少具有常亮和频闪两种功能，闪烁频率 1Hz-2Hz。</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16、照明线具有导向功能，线体每间隔（2±0.1）m 有一个清晰可见的方向标注。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17、防水防尘等级≥IP66。线体具有 360°全方位防水设计，支持消防水枪冲击和长时间泡水测试。</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救生缓降器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1、结构组成：缓降器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2、主要应用场景：适用于居民楼、办公楼、油田、矿山火灾逃生，也可用于高空作业消防训练、紧急避险与救援等行业"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★3、符合国家标准GB 21976.2-2012《建筑火灾逃生避难器材 第2部分:逃生缓降器》的要求。提供国家级检验机构出具的检测报告"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▲4、最大使用高度≥95m，最低使用重量≤10kg；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▲5、最大使用重量≥100kg；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▲6、下降速度0.8-1m/s；</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7、钢丝绳断破拉力＞1.6吨；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8、安全带断破拉力＞2吨；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9、重量≤1800g；</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救援支架</w:t>
            </w:r>
            <w:r/>
          </w:p>
        </w:tc>
        <w:tc>
          <w:tcPr>
            <w:shd w:val="clear" w:color="auto" w:fill="auto"/>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1、结构组成：由高强度铝合金制成，配备钢索牵引绞盘。</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2、主要应用场景：用于井下、地窖等狭小空间救援。"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1.外观质量：外观表面光滑平整，无明显划伤、变形缺陷，金属部件无机械损伤、裂纹和毛刺，钢丝绳无断裂、绞股，有外螺纹的部位已采取防护措施；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2.结构：救援三角架各条支腿完全展开后，各支撑脚之间的最大长度≤5mm。救援三角架的钢丝绳在按额定提升高度展开后，绞盘上的余绳涂有红色警示，且余绳长度≥1m；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3.存放状态最大部件长度：≤1000mm；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▲4.三角架最大工作状态高度：≥2600mm；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▲5.携行总质量：≤66kg；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▲6.钢丝绳直径：±5mm；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▲7.额定负载质量：≥200kg；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▲8.额定提升高度：±30m；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9.操作性能：救援三脚架的绞盘转动灵活、无卡阻现象，绞盘手柄的手摇力为不小于210N(起吊200kg的额定负载质量时)。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10.安全性能：救援三脚架具备自锁功能，按规定的方法进行试验，钢丝绳能保持静止不运动。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11.强度性能：救援三脚架经强度试验后，各部件无任何损坏，在额定负载质量下能正常工作。</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▲12.救援三脚架所用钢丝绳的破断强度为不小于14.90kN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 13.可靠性 救援三脚架经可靠试验后，各部件无任何损坏。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该救援三脚架配备了一个手动绞盘，能安装在任何一条支撑脚上"</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90"/>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测温仪</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1、结构组成：芯片加外壳。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2、主要应用场景：用于消防员灭火救援作业中环境温度的测量。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4.温度校准点0.0     固有误差-0.1      最大允许误差+-0.5       </w:t>
            </w:r>
            <w:r/>
          </w:p>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扩展不确定度U（K=2）1.0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5.温度校准点100.0   固有误差0.8       最大允许误差+-1.5       扩展不确定度U（K=2）1.0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6.温度校准点200.0   固有误差0.5       最大允许误差+-3.0       扩展不确定度U（K=2）1.5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7.温度校准点300.0   固有误差3.2       最大允许误差+-4.5       扩展不确定度U（K=2）1.5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8.温度校准点600.0   固有误差4.3       最大允许误差+-9.0       扩展不确定度U（K=2）2.5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★9.精确度：±1.5%/±1.5℃；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▲10.温度范围：-50℃～1100℃；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▲11.重复性：±1%/±1℃；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▲12.物距比：12:1；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13.发射率：0.10-1.00可调；</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▲14.分辨率：0.1℃/℉；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▲15.响应时间：≤500毫秒；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16.响应波长：8-14μm；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17.产品净重：≤210克。"</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各类警示牌</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1、灾害事故现场警戒警示。</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2、金属材料制作，规格分三角形状，边长≥400mm，表面红、黄反光漆；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3、分为有毒、易燃、泄漏、爆炸、危险等五种标志。</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隔离警示带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1、用于消防灭火救援、灾害事故现场警戒。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2、具有双面反光功能，材质抗拉伸。</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3、每盘宽度≥5cm，长度≥100米。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4、带卷盘。</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379"/>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包五</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移动供气源</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整套装置由车架总成、气瓶单元、供气管、Y型三通接头、长管呼吸器、应急供气装置六个独立的产品，通过自行有机组合，实现可供呼吸保护的外供气式装备，它是以气瓶的压缩空气为气源，通过车架总成上的集气减压装置，经供气管提供到呼吸器的面罩中，供作业人员呼吸，起到有效保护作业者的呼吸系统。</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2、主要应用场景：移动式供气装置属于高压送风式长管呼吸器,是一种便捷的外供气式呼吸保护装备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▲4、出具的检测检验报告应包含检测标准依据：GB6220-2009《呼吸防护长管呼吸器》。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5、与头部接触的材料无害金属件表面有防腐蚀处理，材料有足够的强度和弹性。长管气密能抵抗外界液体的渗透。                                                                                  </w:t>
            </w:r>
            <w:r>
              <w:rPr>
                <w:rFonts w:hint="eastAsia" w:ascii="宋体" w:hAnsi="宋体" w:eastAsia="宋体" w:cs="宋体"/>
                <w:i w:val="0"/>
                <w:iCs w:val="0"/>
                <w:color w:val="000000"/>
                <w:sz w:val="15"/>
                <w:szCs w:val="15"/>
                <w:u w:val="none"/>
                <w:lang w:val="en-US" w:eastAsia="zh-CN" w:bidi="ar"/>
              </w:rPr>
              <w:t xml:space="preserve">                                                                                                         ▲6、部件无结构性破损，对使用者无任何危险，头带可调并能将面罩牢固的固定在脸上，佩戴时无压迫或压痛现象。面罩视野开阔视物真实无畸变镜片不结雾，不限制使用者的头部活动。长管长度＜80m，每根长管最多可为两个面罩供气。长管不妨碍佩戴者的活动。 每根长管最多可为≦2个面罩供气。压力范围不同的连接件不可互换。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总体性能，面罩的设计不会引起佩戴者的不适。长管不妨碍佩戴者的活动，不妨碍安全帽的佩戴，固定带能将导气管或中压管固定在佩戴者身后后侧面而不影响操作，宽度≧40mm。呼吸器上佩戴者的部件触手可及，并可通过触摸加以识别。所有可调节的部件在使用中不出现意外变动。长管抗拉强度≧1000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▲8、密合性面罩泄漏率≦0.06%。</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9、面罩内吸气阻力≧ 140Pa，呼气阻力≦610Pa。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10、面罩腔体内的静态压力≦210Pa。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11、呼气阀气密性，有呼气阀盖，呼吸阀有良好动作性。当呼气阀减压至-1180Pa时 ，面罩呼气阀与45s内负压值下降 ≦520Pa，环境温度17℃-30℃，相对湿度≦75%。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▲12、高低温适应性，无僵硬，破裂，零件脱落发粘等现象，密合性面罩泄漏率高温低温下≦0.05%，面罩内吸气阻力高温 &gt;175 Pa，低温 &gt;185 Pa ，面罩内呼气阻力高低温时均&lt;610 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13、固定带能承受≧1000N拉力无破坏。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14、面罩死腔≦1%。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▲15、面罩面屏总视野≧75%，双目视野 ≧55%，下方视野≧30度。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16、面罩观察镜片透光率 ≧88%，经冲击试验后，镜片无破碎。</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17、头带强度，全面罩头带能够经受≧145N的拉力持续时间10s，不发生破裂。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18、连接强度，所有连接点在承受≧240N，持续10s轴向拉力不出现滑脱，断裂或塑性变形。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19、中压管部件性能要求，连接到供气阀的管线在工作压力为1.3MPa,能承受3MPa压力15min。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20、高压管接头有2处。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21、抗微粒性能，供给压缩空气的部件，有过滤部件能过滤压缩空气中的微粒。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22、气密性，低压气密性：不带全面罩的呼吸器在≧740Pa的正压和负压下进行气密试验。压力变化在1min内，正压为15Pa，负压为20Pa，符合标准。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23、高压部件耐压性能，承受高压的金属部件至少承受1.5倍气瓶压力，承受高压的非金属部件至少承受2倍气瓶的工作压力。</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24、气瓶为复合气瓶符合DOT-CFFC的规定。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25、输气的可靠性，导气管，长管不出现限制，阻塞气流的情况，气体流量的降低不超过制定测10%，测试结束10min后，无扭曲现象。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26、气瓶阀 ，设计安全，能防止微粒堵塞和传动。不能将气瓶阀完全从阀体上旋下，开启方向为逆时针。开启后不会被无意关闭。设置有爆破膜片，其爆破压力为气瓶额定工作压力的（1.2-1.5）倍。气瓶阀的输出端为内螺纹，尺寸为G5/8，公差符合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27、设置有减压器 ，有密封措施，有泄压阀，在输入不超过3MPa压力下，减压器泄压阀能通过400L/min的气流，减压器泄压阀启动后，吸气阻力和呼气阻力不大于2.5KPa。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▲28、压力表，设计方便读取， 高压表提供高压管路的空气压力，MPa/Bar双刻度设计，高压表的量程是0-40MPa，精度是1.6级。中压表提供中压管路中的空气压力，Mpa/Bar双刻度设计，中压表的量程是0-1.6MPa ，精度是1.6级。长管呼吸器上拆除压力表和连接管后，在20 MPa的压力下泄漏气流量不大于15L/min。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29、报警器功能和压力表所提供的信息互补。设置报警器，可报警，在打开气瓶阀时自动启动。气瓶压力下降至5.5MPa时，报警哨报警。连续声响报警，报警时间&gt;30s，声强&gt;100dB（A),声响频率4000Hz，能连续报警至1 MPa。报警器启动后，佩戴者能继续正常使用长管呼吸器。气动报警器从启动至气瓶压力降至1MPa为止，警报器的平均耗气量不大于2L/min。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▲30、标识，具有永久标识：产品名称，型号，制造商名称，生产日期，中文说明书。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车架总成可以同时安装四只9L气瓶，并可以随时更换其中任何一只气瓶而不影响持续供气。量值参数：车架由表面进行防腐处理的钢管折弯焊接而成。车架底盘安装有四个转动轮，其中两个前轮为为大直径车轮，两个后轮为导向轮并带有刹车机构，可以在供气装置需要停放时保持稳定，特别在有一定坡度的地面不会移动。车架上共有4根高压管组件，分别连接到集气块和气瓶上，4根高压管组件独立供气，工作压力30MPa,自带有泄压旋钮，方便释放管路中的高压气体，与气瓶快速脱开。</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液压破拆工具组</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▲1、结构组成：整套包含：液压机动泵、手动液压泵、液压扩张器、液压剪切器、液压剪扩器、液压撑顶器、液压软管10米2根</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2、主要应用场景：适用于大型抢险救援破拆救援工作，如地震、建筑垮塌、复杂交通事故等</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▲3、应提供国家级或国家认可的第三方检测检验机构出具的检测检验报告，且报告应完整有效。</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▲4、出具的检测检验报告应包含检测标准依据：GB/T 17906-2021《消防应急救援装备液压破拆工具通用技术条件》。</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5、外观要求：设备外表面应涂防锈漆，漆层应均匀，无龟裂现象；铸造件表面应光滑，无砂眼、气孔等缺陷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6、液压机动泵</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（1）质量：≤23kg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▲（2）额定工作压力：≥72MPa，额定流量：≥0.5L/min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（3）低压工作压力：≥5MPa，低压流量：≥2.9L/min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7、手动液压泵</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（1）液压油缸有效容量：≥1800毫升</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▲（2）额定工作压力≥72MPa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（3）质量：≤8kg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8、液压扩张器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（1）质量：≤15kg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▲（2）扩张力（测力点距扩张臂顶端垂直距离为25mm）：最小扩张力≥40KN，最大扩张力≥90KN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（3）扩张距离：≥720mm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9、液压剪切器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（1）质量：≤9.5kg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（2）开口距离：≥170mm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▲（3）剪切能力：直径≥31mm的Q235A圆钢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（4）宜采用倾斜型刀头设计，为操作者从侧面剪切时创造更多的空间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10、液压多功能钳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（1）质量：≤14.5kg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（2）扩张力：最小扩张力≥30KN，最大扩张力≥40KN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（3）剪切能力：圆钢≥∅19mm，板材≥2mm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11、液压撑顶器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（1）质量：≤11kg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▲（2）撑顶力：≥150KN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（3）撑顶长度：≥760mm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（4）原始长度：≤515mm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（5）撑顶行程：≥250mm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12、液压软管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（1）最大工作压力：≥72MPa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（2）液压管长度10米</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（3）重量≤5公斤</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13、液压软管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（1）密封性：在额定工作压力下，液压软管及接头无漏油情况</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（2）泄压功能：具备泄压附件，可实现泄压功能</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（3）带压操作：可在额定工作压力下插拔液压软管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（4）软管接头：采用平面密封接头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（5）额定工作压力：≥350巴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（6）整体质量：5.6±0.2kg</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液压开门器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1、结构组成：由液压泵（配有液压油管1条）、开门器、微型扩张器、微型剪切器、撬棍等组成。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2、主要应用场景：用于灾害事故现场消防员破拆使用。"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3、★符合GB 28735-2012《消防用开门器》的标准要求，并提供国家级检验机构出具的检验报告。"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2、液压泵：</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2.1、额定输出压力≥70MPa；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2.2、额定输出量≥0.8ml/次；低压输出压力:5-10MPa；低压流量:≥7ml/次；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▲2.3、手柄力:≤300N；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▲2.4、质量:≤4kg。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3、开门器：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▲3.1、最小插入高度≤6mm；闭合长度:210mm；开启距离≥180mm；分离距离≥220mm；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▲3.2、撑用于顶距离≥260mm，分离力≥55kN，撑顶力≥55kN；</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▲4、微型扩张器：扩张力≥40kN，最大分离距离≥150mm；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▲5、微型剪切器：最大剪切力≥120kN，最大剪切（Q235）圆钢直径：20mm；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6、组合撬棍：长度≥450mm；重量≤4kg。"</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21"/>
                <w:szCs w:val="21"/>
                <w:highlight w:val="none"/>
                <w:vertAlign w:val="baseline"/>
                <w:lang w:val="en-US" w:eastAsia="zh-CN"/>
              </w:rPr>
              <w:t xml:space="preserve">包六</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65mm水带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★2、符合CCCF-CPRZ-25:2019《消防类产品认证实施规则》和GB6246-2011《有衬里消防水带性能要求和试验方法》并提供国家级检验机构出具的检验报告。"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▲3、工作压力：≥1.6Mpa，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▲4、爆破压力：≥5Mpa，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▲5、直径：≥65mm，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6、水带编织层与衬里间的附着强度≥30N/25mm，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7、水带长度≥20m。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▲8、轴向延伸率≤5%，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▲9、直径膨胀率≤5%。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9、重量≤350g/m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10、配快速接口。</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120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80mm水带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1、织物层原材料采用涤纶长丝，内衬聚氨酯材料，表面光滑、平整、编织均匀，耐高压、耐磨损、不渗水、不霉变、易卷缠，轻便柔软、使用寿命长。</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★2、符合CCCF-CPRZ-25:2019《消防类产品认证实施规则》和GB6246-2011《有衬里消防水带性能要求和试验方法》并提供国家级检验机构出具的检验报告。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▲3、工作压力≥1.6Mpa，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4、爆破压力≥5Mpa，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5、直径：≥80mm，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6、水带编织层与衬里之间的附着强</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度≥30N/25mm，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7、轴向延伸率≤5%，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8、直径膨胀率≤5%。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9、重量≤400g/m。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10、配快速接口。</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11、水带长度≥20m。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水幕水带</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1、结构组成：水带，快速接口</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2、主要应用场景：用于消防救援。"</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 GB6246-2011《消防水带》标准要求并提供国家级消防装备检验机构出具的检验报告。"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4、▲标识：水带应以非黑色的有色线作带身中心线，在端部附近中心线两侧应用不易脱落的油墨，清晰地印有：产品名称、规格型号、生产厂名、注册商标和生产日期。</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5、内径：65mm±2。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6、长度：20m±0.2。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7、重量≤350g/m。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8、▲工作压力：≥1.6Mpa。</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10、轴向延伸率≤5%。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11、直径膨胀率≤5%。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12、水带编织层与衬里间的附着强度≥30N/25mm。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13、水带与消防接口连接性能：水带与消防接口连接处不应发生渗漏、爆破或滑脱。</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14、在一定压力下能喷射形成水雾状屏障，能有效起到防火分隔、降低辐射热、稀释有毒气体浓度等的作用。喷雾孔铆钉光滑，无毛刺锈蚀，两喷雾孔间距约 35cm±2。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15、配快速接口。"</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16、长度20M±0.1M</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异型异径接口</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1、主要应用场景：用于火灾现场不同型式、直径接口之间的转换连接；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★2、符合国标 GB12514《消防接口》标准。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▲3、国家权威机构出具的检验报告。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▲4、使用公称压力≥2.5MPa；强度测试压力≥4MPa；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5、外观：无缺陷与不良；表面光亮、无毛刺、无伤痕；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"6、型号：65 内扣转 65 雌，65 内扣转 65 雄，65 内扣转 80 雌，65内扣转 80 雄，80 内扣转 65 雌，80 内扣转 65 雄，80 内扣转 80雌，80 内扣转 80 雄，65 雌转 65雌，80 雌转 65 雌，80 雌转 80雌，80 雌转 65 雄，65 雌转 80雄，65 雄转 65 雄，80 雄转 65雄，80 雄转 80 雄。</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★具体型号和个数可由需求单位任意选择配置"</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7、材质：铝镁合金；表面防腐处理工艺，金色阳极氧化。</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中压分水器</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1、结构组成：由接口、阀体、手柄、球体、把手、密封圈组成 2、主要应用：适用于适用于铺设消防水带用的分水器，作为开关使用，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▲★2、符合《分水器和集水器》 GA868-2010 标准。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▲3、国家权威机构出具的检验报告。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4、外观：铸件表面应无结疤、裂纹、砂眼。加工表面应无明显的伤痕。本体上应清晰铸出阀门的 “开”、“关”字样或标志；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5、密封性能：分水器的各连接部位及阀门不应有渗漏现象；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6、水压强度性能合格：不得出现影响使用的变形；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7、耐腐蚀性能：分水器应使用耐腐蚀材料制造或对材料进行防腐蚀处理，经耐腐蚀试验后，应无起层，剥落或肉眼可见的点蚀凹坑，并且阀门应能正常操作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8、阀门和通径：分水器出水口上应安装阀门，阀门公称通径不得小于分水器出水口的公称通径；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▲9、阀门开启力（N）≤90N；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10、接口性能：消防接口的公称压力应不低于分水器本体的公称压力，其接口性能应符合GB12514.1 的规定；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▲11、产品特性：（1）接口：采用锻造工艺，选用优于或等于铝镁合金 A6061 材质，表面金色阳极氧化防腐处理。 （2）阀体：采用压铸工艺，选用优于或等于 YL112 材质，表面红色喷塑防腐处理。（3）手柄：采用锻造工艺，选用优于或等于铝镁合金 A6061 材质，表面阳极氧化防腐处理。 （4）球体：选用铝合金材质，减压式 T 型通孔球体，表面黑色阳极氧化防腐处理。 （5）把手：蓝色 T 型浸塑把手。（ 6）密封圈：采用防脱结构设计，空排水时有效防止密封圈脱落。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▲12、重量：卡式三分水器≤ 4.5kg</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大流量消防炮</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★1、结构组成：消防炮身组件，消防炮头组件，旋转雾化齿组件，国标水带接口。</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2、主要应用场景：适用于消防灭火救援、石油石化灭火等高强度工作。整体重量轻、体积小，射程远，便于携带、运输。"</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★3、符合GB19156-2019《消防炮》；CCCF-CPRZ-26:2019《消防类产品认证实施细则 灭火设备产品消防给水设备产品》标准要求并提供国家消防装备质量监督检验中心检验报告；"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★4、流量≥40升/秒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▲5、不断水流量调节≥3档，分别是（25-30-40）升/秒</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6、射程≥75米； 水平摆动角度≥ ±20°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7、消防炮采用轻质铝合金材质，通过硬质阳极氧</w:t>
            </w:r>
            <w:r>
              <w:rPr>
                <w:rFonts w:hint="eastAsia" w:ascii="宋体" w:hAnsi="宋体" w:eastAsia="宋体" w:cs="宋体"/>
                <w:i w:val="0"/>
                <w:iCs w:val="0"/>
                <w:color w:val="000000"/>
                <w:sz w:val="15"/>
                <w:szCs w:val="15"/>
                <w:u w:val="none"/>
                <w:lang w:val="en-US" w:eastAsia="zh-CN" w:bidi="ar"/>
              </w:rPr>
              <w:t xml:space="preserve">化处理，轻便易携，防腐蚀，可以轻松应对多种不同的应用场合；采用多功能消防炮头，转动炮头即可实现消防炮射流形式的无极调节，射流形式为直流/开花/喷雾；消防炮开关球阀开闭可实现无极调节，炮体正面标识阀门开关位置，球阀采用特殊材质制成，具有一定的磨损自修复功能；炮身配有压力表，实时显示消防炮的工作压力，便于消防员根据现场情况进行判断；炮身上配有手持握柄，人体工程学滚花防滑设计，便于持拿不打滑；消防炮标配安全带，安全带配有收纳装置，需快速移动时，可作为背带使用；炮身进水口采用360°无限旋转接口，可以防止水带打结。</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8、360°旋转雾化齿，在喷雾模式时，该旋转齿不断切割水滴，可使水滴更接近细水雾的级别，增大水滴的表面积，增大吸热效率，提高灭火速度；</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9、翻转式折叠式撑脚≤180°，展开后自动固定，受外力也不会收回，采用碳化钨材料防滑钉，支撑稳固，在常压工作状态下，无需人员值守即可自行工作</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10、重量≤10kg</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竹制6米消防拉梯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1、结构组成；优质坚韧毛竹经特殊工艺处理，多层压合而成，侧板与梯登采用铆钉连接</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2、主要应用场景：登高、跨越高墙，亦可作一般登高及民用。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▲3、符合XF  137-2007《消防梯》标准要求。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▲4、提供国家级权威机构检验报告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▲5、工作长度：6±0.1m；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6、收缩长度：3.8±0.1m；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7、收缩厚度：140±1mm；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8、收缩宽度：420±1mm；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▲9、最小梯宽：315±1mm；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10、梯蹬间距：280±1mm；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11、水平弯曲残余变形比值：≤0.11%；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12、梯橙弯曲残余变形比值：≤0.16%；</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13、侧摇摆曲残余变形比值:≤0.15%；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▲14、侧板悬臂弯曲最大变形值（mm）；≤5。内弯曲：1.4外弯曲：1.6内弯曲：1.5外弯曲：1.4侧摇摆曲残余变形比值（%）；≤0.3▲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15、质量：≤30kg；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16、外观检查：梯蹬与侧板应紧密吻合，不得松动、加楔。金属梯蹬应有防滑措施。金属零件和竹、木零件应紧密贴合，不应补塞。紧固件应垂直旋紧，不应有突出的钉头锋口和毛刺等缺陷。锹钉应紧固并呈</w:t>
            </w:r>
            <w:r>
              <w:rPr>
                <w:rFonts w:hint="eastAsia" w:ascii="宋体" w:hAnsi="宋体" w:eastAsia="宋体" w:cs="宋体"/>
                <w:i w:val="0"/>
                <w:iCs w:val="0"/>
                <w:color w:val="000000"/>
                <w:sz w:val="15"/>
                <w:szCs w:val="15"/>
                <w:u w:val="none"/>
                <w:lang w:val="en-US" w:eastAsia="zh-CN" w:bidi="ar"/>
              </w:rPr>
              <w:t xml:space="preserve">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17、材料：消防梯所用竹、木材料应符合附录A的要求。竹粘合集成材料的粘合牢度按6.3的方法试验后，应无脱胶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18、梯蹬剪切强度：梯蹬与侧板的连接处和梯蹬本身不应有任何断裂迹象。</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挂钩梯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1、结构组成：侧板、梯蹬材质为生长期五年以上的竹料并经防腐、防蛀、干燥处理。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2、主要应用场景：高空灭火救援使用。"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★3、符合GA137-2007《消防梯》标准。</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▲4、提供国家级检验机构出具的检测报告。"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▲5、工作长度 4±0.1m。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▲6、最小梯宽 250±2mm。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▲7、梯蹬间距 340±2mm。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▲8、整梯质量≤11kg。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9、水平弯曲残余变形比值≤0.04%。</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10、梯蹬弯曲残余变形比值≤0.20%。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11、梯蹬剪切强度：梯蹬与侧板的连接处和梯蹬本身无任何断裂迹象。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12、钩强度试验后，不出现任何损伤、变形和裂纹。</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13、梯节扭转角为：α顺：≤13°、α逆：≤13°。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 侧 摇 摆 试 验 残 余 变 形 比 值 ≤0.09%。</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15、粘牢合度试验时，通过浸泡、恒温、低温试验后无脱胶现象。</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9</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竹制9米消防拉梯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1、结构组成：主体用优质坚韧毛竹经特殊工艺处理，多层压合而成，侧板与梯登采用铆钉连接，</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2、主要应用场景：救火、救灾时登高救人、灭火作业"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▲3、符合XF 137-2007《消防梯》标准要求。</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▲4、提供国家级权威机构检验报告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▲5、工作长度：9±0.1m；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6、收缩长度：5.5±0.1m；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▲7、收缩厚度：140±1mm；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8、收缩宽度：420±1mm；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9、最小梯宽：315±1mm；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10、梯蹬间距：340±1mm；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11、水平弯曲残余变形比值：≤0.21%；</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12、梯橙弯曲残余变形比值：≤0.16%；</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13、侧摇摆曲残余变形比值:≤0.22%；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▲14、侧板悬臂弯曲最大变形值（mm）≤5.</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▲15、质量：≤45kg；</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16、外观检查：梯蹬与侧板应紧密吻合，不得松动、加楔。金属梯蹬应有防滑措</w:t>
            </w:r>
            <w:r>
              <w:rPr>
                <w:rFonts w:hint="eastAsia" w:ascii="宋体" w:hAnsi="宋体" w:eastAsia="宋体" w:cs="宋体"/>
                <w:i w:val="0"/>
                <w:iCs w:val="0"/>
                <w:color w:val="000000"/>
                <w:sz w:val="15"/>
                <w:szCs w:val="15"/>
                <w:u w:val="none"/>
                <w:lang w:val="en-US" w:eastAsia="zh-CN" w:bidi="ar"/>
              </w:rPr>
              <w:t xml:space="preserve">施。金属零件和竹、木零件应紧密贴合，不应补塞。紧固件应垂直旋紧，不应有突出的钉头锋口和毛刺等缺陷。钏钉应紧固并呈平整半圆头。消防梯外表面应光滑无毛刺，表面应涂不导电的涂料保护，竹、木表面呈桔黄色，金属零件镀锌（或镀铭）或涂黑色磁漆。涂料表面光滑，色泽均匀，无漏涂、流痕和影响外表面质量的缺陷。消防梯的侧板应设有角度仪，能可靠指示梯身与地平面的夹角。拉梯的撑脚应使用金属制造，工作时应能可靠支撑在梯蹬上。拉梯在展开和缩合的过程中，其限位装置应可靠。大于等于12m的消防梯应装有支撑杆，支撑杆应妥善固定在基础梯节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17、材料：消防梯所用竹、木材料应符合附录A的要求。竹粘合集成材料的粘合牢度按6.3的方法试验后，应无脱胶现象。</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4293"/>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10</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15米消防拉梯</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结构组成：采用铝合金材料制成。该梯由上、中、下三节组成，下节梯安装有支撑杆，增加整梯的稳定性。下节梯和中节梯的侧板上有滑槽，中节梯和上节梯的侧板下端装有导板，可有效保证中节梯沿下节梯滑动，上节梯沿中节梯滑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2、主要应用场景：采用高强度铝合金型材制成，经时效氧化处理后，强度高、韧性好，结构上经精心设计使用灵活方便。是消防救援人员登高救人，扑灭火灾时的主要工具。"</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"二、标准规范及检验报告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★3、符合 GA137-2007《消防梯》标准并提供国家级消防装备检验机构出具的检验报告。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三、检验报告中可体现的参数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4、外观要求：上节梯和中节梯上均安装有滑轮，可方便拉梯的展开和缩合拉梯的升降装置由滑轮、钢丝绳、拉绳和撑脚组成，在展开和缩合过程中，可保证限位安全可靠。</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5、外观检查：梯</w:t>
            </w:r>
            <w:r>
              <w:rPr>
                <w:rFonts w:hint="eastAsia" w:ascii="宋体" w:hAnsi="宋体" w:eastAsia="宋体" w:cs="宋体"/>
                <w:i w:val="0"/>
                <w:iCs w:val="0"/>
                <w:color w:val="000000"/>
                <w:sz w:val="15"/>
                <w:szCs w:val="15"/>
                <w:u w:val="none"/>
                <w:lang w:val="en-US" w:eastAsia="zh-CN" w:bidi="ar"/>
              </w:rPr>
              <w:t xml:space="preserve">蹬与侧板应紧密吻合，不得松动、加楔。金属梯蹬应有防滑措施。金属零件和竹、木零件应紧密贴合，不应补塞。紧固件应垂直旋紧，不应有突出的钉头锋口和毛刺等缺陷。铆钉应紧固并呈平整半圆头。消防梯外表面应光滑无毛刺，表面应涂不导电的涂料保护，竹、木表面呈桔黄色，金属零件镀锌(或镀铬)或涂黑色磁漆。涂料表面光滑，色泽均匀，无漏涂、流痕和影响外表面质量的缺陷。拉梯的撑脚应使用金属制造，工作时应能可靠支撑在梯蹬上。拉梯在展开和缩合的过程中，其限位装置应可靠。大于等于 12m 的消防梯应装有支撑杆，支撑杆应妥善固定在基础梯节上</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6、材料：消防梯所用铝合金材料应符合 GB/T6892-2000 的规定。</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"7、外形尺寸</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（1）工作长度(m)：15+0.3。</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（2）最小梯宽(mm)：350±4。</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（3）梯蹬间距(mm)：340±2。"</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▲8、整梯质量(kg)≤57。</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9、水平弯曲残余变形比值(%)≤0.20。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10、梯蹬弯曲残余变形比值(%)≤0.20。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11、梯蹬剪切强度：梯蹬与侧板的连接处和梯蹬本身不应有任何断裂迹象。梯蹬扭转试验：以圆形截面和侧板连接的梯蹬应进行梯蹬扭转试验。梯蹬扭转试验后，梯蹬不应产生超过 9°的相对运动，且梯蹬与侧板的连接处和梯蹬本身不应有任何损坏。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12、梯节扭转试验(°)≤10。</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13、翘曲试验：试验时任一梯脚均不得离地。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14、滑移试验 试验时，各梯脚在整个试验表面不应位移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15、单撑脚载荷试验 ：拉梯的单撑脚载荷试验后，撑脚及联接件不应出现松动、损伤及变形。</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▲16、侧板悬臂弯曲最大变形值(mm) ≤1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▲17、侧摇摆试验残余变形比值(%) ≤0.1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18、撑脚安全性试验 ：三节拉梯的两侧撑脚应能同时可靠地将第二、第三梯节支撑在工作高度及以下的任何一级梯蹬上。在撑脚安全性试验时，不应出现向梯蹬外侧面移动的现象。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19、 抗冲击性能试验 试验时撑脚支撑功能应始终正常，试验后撑脚及梯蹬应无明显变形或损坏。</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"四、非检验报告内参数</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无"</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水带护桥</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1、采用天然优质橡胶,钢模制造而成；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2、美观大方，双槽整体护桥，强度高，经久耐用，使用于出水的消防水带，以防车轮压破，是火场辅设消防水带的辅助器材；</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3、护桥槽：宽度≥90mm，深度≥75mm；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4、外形尺寸：≤85*57cm； </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5、底板厚度：≥5mm；</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6、质量：≤28Kg。</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地上消火栓扳手</w:t>
            </w:r>
            <w:r/>
          </w:p>
        </w:tc>
        <w:tc>
          <w:tcPr>
            <w:tcW w:w="5078"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1.可用于开启室外消火栓使用，本身采用红色涂层，防锈耐用。</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2.符合国家技术规范和质量标准的合格产品。</w:t>
            </w:r>
            <w:r>
              <w:rPr>
                <w:rFonts w:hint="eastAsia" w:ascii="宋体" w:hAnsi="宋体" w:eastAsia="宋体" w:cs="宋体"/>
                <w:i w:val="0"/>
                <w:iCs w:val="0"/>
                <w:color w:val="000000"/>
                <w:sz w:val="15"/>
                <w:szCs w:val="15"/>
                <w:u w:val="none"/>
                <w:lang w:val="en-US" w:eastAsia="zh-CN" w:bidi="ar"/>
              </w:rPr>
              <w:br/>
            </w:r>
            <w:r>
              <w:rPr>
                <w:rFonts w:hint="eastAsia" w:ascii="宋体" w:hAnsi="宋体" w:eastAsia="宋体" w:cs="宋体"/>
                <w:i w:val="0"/>
                <w:iCs w:val="0"/>
                <w:color w:val="000000"/>
                <w:sz w:val="15"/>
                <w:szCs w:val="15"/>
                <w:u w:val="none"/>
                <w:lang w:val="en-US" w:eastAsia="zh-CN" w:bidi="ar"/>
              </w:rPr>
              <w:t xml:space="preserve">3.重量≤1.2kg，长度40～45cm，手柄宽度≤3.6cm，开口≤6cm，五角边长≤3cm，材质铸钢。</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包七</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多功能水枪</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1、结构组成：消防枪身组件，消防枪头组件，旋转雾化齿组件，国标水带接口等；</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▲2、应提供国家级或国家认可的第三方检测检验机构出具的检测检验报告，且报告应完整有效。</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▲3、出具的检测检验报告应包含检测标准依据：GB8181-2005《消防水枪》</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▲4、出具的检测检验报告还应包含检测标准依据：CCCF-CPRZ-26:2019《消防类产品认证实施细则 灭火设备产品消防给水设备产品》</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▲5、流量≥10升/秒（600升/分）；</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6、最大喷雾角≥120°；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▲7、出水流量调节≥5档，分别是（2.5-4-6.5-8-10）升/秒；</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8、转动枪头≤90°即可实现从直流到喷雾的完全切换；</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9、工作时雾化齿360°不间断旋转切割水雾，增大灭火面积，提高降温速度，达到最佳灭火效果；水带接口可以360°无限旋转；</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10、具备冲洗功能，使用后调至冲洗档位即可对消防枪内部进行冲洗；</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11、枪头上配有人体工程学凸点，既便于工作模式切换，也保证即使在视线不好时，也知道水枪的实时工作状态，凸点向上表示直流位置；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12、采用U型手柄，工程材质球阀开关，有一定的自修复功能。</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移动式排烟机</w:t>
            </w:r>
            <w:r/>
          </w:p>
        </w:tc>
        <w:tc>
          <w:tcPr>
            <w:tcW w:w="5078" w:type="dxa"/>
            <w:vAlign w:val="top"/>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▲1、结构组成：由不锈钢导风筒，轮轴式支架， 小型汽油机、风扇叶轮等组成。</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2、主要应用场景：适用于楼层与地下室火灾中排烟及疏散被困人员。</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3、应提供国家级或国家认可的第三方检测检验机构出具的检测检验报告，且报告应完整有效。</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▲4、出具的检测检验报告应包含检测标准依据： GB27901-2011《移动式消防排烟机》。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5、标志 1.1.在排烟机外表明显部位应设置标牌，标牌内容 应正确齐全；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6、标志 1.2.在排烟机外壳明显位置应有永久性气流方向 标识；</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7、联接件、紧固件应装配牢固，各种管路应固定可靠；</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8、黑色金属紧固件应经防腐处理。</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9、整机质量（kg）≤ 40；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10、风量性能 ≥20000m³/h，叶轮直径 直径：(450± 10) 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11、连续运转平稳性 排烟机进行连续运转平稳性试验，其最大自行移动距离不应超过 200rmio；</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12、倾斜运转 排烟机进行倾斜运转试验，试验中各部件不应出现漏油机械松动及其它危及人身安全、影响正常使用的现象；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13、安全要求 排烟机的进出风口应安装安全网，安全网的最小 间隙应不大于 8mmo；</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14、噪声[dB (A)] ≤87；</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15、其 他 要 求内燃机式排烟机的其他要求 低温启动性能(s) ≤30燃油箱容积 燃油箱容积应能保证排烟机在额定 转速下连续运转 1 h.隔热保护 排气管及消声器外露部分应有隔热措施。工作温度 内燃机式消防排烟机的工作温度，应符合 JB/T5135. 1 中的相关规定。排烟机叶轮 叶轮应进行超速性能试验，其超速性 能应符合相关标准的规定；</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16、隧道空间最大排烟量：正压≥30000m³/小时，负压≥16000m³/小时；7 片由优质铝合金精密铸造而成的翼型风机叶片，叶轮直径 直径：(450± 10) mm。既可以正压排烟和送风，又可以负压排烟和通风，内藏式 4 人把手。其风机入口或出口接上风管时能进行排烟通风作业。前后排烟口必须带有防护网罩；正负压两头都可以同时连接排烟管，设计的风机入口和出口能够接上风管正负压排烟通风作业。发动机进气口在机器外壳上部裸露出来保持吸入新鲜空气。排烟管 10 米一根，共两根。</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2230"/>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直流水枪</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1、结构组成：枪体、球阀、枪头、接口、开关手柄等。</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2、主要应用场景：直流水枪是一种灭火的工具，与水带连接，会喷射充实密集水流。具有射程远、水量大等特点。                                           </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★3、符合GB 8181-2005《消防水枪》标准要求并提供国家级检验机构出具的检验报告。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1.火灾扑救，具有直流射水功能。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2.产品符合GB 8181-2005《消防水枪》标准和CCCF-CPRZ-26:2019《消费类产品认证实施规则～灭火设备产品 消防给水设备产品》检测标准。</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★3.采用高强度铝合金锻造成型，材料经高温热处理使材质性能达到最优，表面经过氧化处理，外观更加美观且耐腐蚀，枪柄把手为尼龙材质，本体为直线握把直流水枪，L型操作杆可轻松操控出水开或关闭。</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▲4.进水口65mm快速接口，流量≥7.5(L/s)，射程≥28米。</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5.提供国家消防装备质量监督检验中心出具的型式检验报告和3C认证证书。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7、重量≤1.2千克。</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抗溶性泡沫(6%)(吨)</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★1、结构组成：发泡剂、泡沫稳定剂、降粘剂、抗冻剂、助溶剂、防腐剂以及水组成</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2、主要应用场景：可对着火物质进行阻隔、冷却、稀释"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"二、标准规范及检验报告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3、★符合GB 15308-2006《泡沫灭火剂》、CNCA-C18-03:2014《强制性产品认证实施规则 灭火设备产品》。</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出具国家级权威检验机构出具的检验报告"</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三、检验报告中可体现的参数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★4、凝固点：≤-30℃；、</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▲5、PH 值：温度处理前：≤7.0 ，温度处理后：≤7.5</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6、腐蚀率 mg/（d.dm²）：温度处理前：Q235A 钢片：≤15，3A21 铝片：≤15； </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7、表面张力（mN/m）: ≤30.0；</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8、润湿性：温度处理前：混合比为 0.3%时：≤121.4s，混合比为 0.6%时：≤76s，混合比为 1.0%时：≤19s；</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9、25%析液时间：≥6.5min；</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10、表面张力（18.3mN/m）温度处理前：与特征值的偏差≤10%。  界面张力（2.2mN/m）温度处理前：与特征值的偏差≤1.0mN/m或≤特征值的10%。</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11、发泡倍数：≥5.9</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12、温度敏感型：温度敏感型泡沫液；</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13、灭火等级：IA，强施放灭火时间≤2.5min，ARIB级别，灭火时间≤1min；</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14、抗烧时间：IA，强施放抗烧时间≥10min，ARIB级别，抗烧时间≥13min。</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四、非检验报告内参数</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15、温度敏感型：非温度敏感型泡沫液；</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16、抗冻结：温度处理前、后：无可见分层和非均相</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17、融化性：温度处理前、后：无可见分层和非均</w:t>
            </w:r>
            <w:r/>
          </w:p>
          <w:p>
            <w:p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18、比流动性：温度处理前：泡沫液流量不小于标准参比液的流量。</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16</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消防过滤式自救呼吸器</w:t>
            </w:r>
            <w:r/>
          </w:p>
        </w:tc>
        <w:tc>
          <w:tcPr>
            <w:tcW w:w="5078" w:type="dxa"/>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一、基本描述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1、适用于宾馆、办公楼、商场、银行、邮电、电力、医院、地铁、轮船、车站、码头、公共娱乐场所和住宅等预防火灾事故时，个人防护呼吸保护必备的装置。</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"二、标准规范及检验报告</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★2、符合GB21976.7-2012《建筑火灾逃生避难器材第7部分 过滤式消防自救呼吸器》、CNCA-C18-04:2014《强制性产品实施认证规则 消防装备产品》等要求。并提供国家级权威检验机构出具的检验报告。"</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三、检验报告内参数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▲3、吸气阻力＜800Pa;</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▲4、呼气阻力＜300Pa；</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四、非检验报告内参数</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5、防护对象为一氧化碳(CO)、氰化氢(HCN)、毒烟和毒物。</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6、防护时间以生产厂公布值为准，最短的防护时间不小于15min。</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在整个防护时间内，透过过滤装置的一氧化碳浓度不大于200mL/m³,且透过过滤装置的一氧化碳总累积量不大于200mL。透过过滤装置的氰化氢浓度不大于10mL/m³。过滤装置油雾透过系数不大于5%。吸气温度不大于65℃。</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8、视野：防护头罩的双目视野不小于60%，下方视野不小于35°。</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9、吸入气体中的二氧化碳含量按体积计算不大于2%。</w:t>
            </w:r>
            <w:r/>
          </w:p>
          <w:p>
            <w:pPr>
              <w:numPr>
                <w:ilvl w:val="0"/>
                <w:numId w:val="0"/>
              </w:numPr>
              <w:jc w:val="left"/>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▲10、防护头罩眼区的漏气系数不大于20%,呼吸区的漏气系数不大于5%。如果呼啦器中不设面罩，则防护头罩的漏气系数不大于5%。</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120</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7</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细水雾</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★1、结构组成：同时配备正压式空气呼吸防护备件（呼吸面罩等），可灵活与主机搭配使用。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2、主要应用场景：一种背负使用的压缩空气泡沫灭火系统，整机使用安全、使用期限内无需保养、使用后可自主灌装。灾害现场灭火或洗消，使操作者能够在在浓烟、有毒有害气体等环境下安全灭火；"""</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★3、符合Q/XFZB015-2007《两相流水雾灭火枪》标准要求。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▲提供国家权威机构出具的检验报告。"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三、检验报告中可体现的参数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▲4、充满电的电池能喷射≥8桶水；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5、水泵在额定工作压力下连续工作一小时不会出现任何问题；</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6、喷枪连接的软管采用耐压大于额定压力1.5倍以上的编织橡胶软管；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7、连接软管的爆破压力大于额定工作压力的2倍；</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▲8、贮水桶容积：≥16L</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9、额定工作压力：≤1.2MPa</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▲10、灭火剂：AFFF-AR泡沫混合液</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11、软管长度：≥1m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12、流量：直流≥15 L/min，喷雾≥16 L/min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▲13、喷射时间：直流≥55s，喷雾≥55s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14、射程：直流≥13.5m，喷雾≥8.0m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15、喷射角：≥20°；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17、额定混合比：≥3%</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18、发泡倍数：≥ 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19、5%析液时间：≥3.0min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▲20、整体质量：≤16kg(不含水)</w:t>
            </w:r>
            <w:r/>
          </w:p>
        </w:tc>
        <w:tc>
          <w:tcPr>
            <w:tcW w:w="104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5"/>
                <w:szCs w:val="15"/>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包八</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灭火机器人</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1、结构组成：消防灭火机器人只要由消防机器人专用底盘、多功能消防水炮、遥控接收系统、自保喷淋系统、专用绞盘等组成。</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消防灭火机器人具有远程控制、机动灵活、流量大、射程远等优点，是代替消防员进入高温、浓烟、缺氧等灾害事故现场完成侦查、灭火、搜救等急难险重任务的高精尖装备。为消防战斗人员在极危环境下扑救火灾提供有力帮助。</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★3、提供应急管理部消防产品合格评定中心出具的检测报告（检验机构名单详见应急管理部消防产品合格评定中心)。</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★4、出具的检测检验报告应包含检测标准依据：XF892.1-2010《消防机器人第1部分 ：通用技术条件》。</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消防机器人上布置的电气、液压、气动线路应排列整齐、固定牢靠、走向合理，便于安装、拆卸，并用醒目的颜色和标志加以区分；电气、液压、气动系统不得有漏电、油、漏气现象；润滑和冷却情况应满足本标准的相关规定。</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6、控制方式为人工遥控。</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▲7、遥控距离：≥150m。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8、直行速度：≥1.5m/s。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9、直行跑偏量≤5%。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10、转弯直径/自身长度≤1.9。</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▲11、爬坡能力≥90%。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12、越障高度/离地间隙≥1。</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13、制动距离≤0.3m。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14、消防炮额定工作压力：水≥1.0Mpa，泡沫混合液≥1.0Mpa。</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▲15、消防炮流量：水≥155L/s，泡沫混合液≥155L/s。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▲16、消防炮射程：水≥108m；低倍泡沫≥103m。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▲17、俯仰角≥-40°-90°。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▲18、水平回转角≥-100°-100°。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19、履带底盘设计，具有高温自启动自喷淋冷却降温功能，机器人前部、履带上部、后部均配有喷淋头。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20、消防炮可喷射中低倍数泡沫、配备中低倍泡沫炮管。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21、具有一个以上高清摄像头、远距离传输、夜间照明；在机器人后方具有红蓝双色警报爆闪功能。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22、在浓烟状态下可根据爆闪灯照射浓烟的不同颜色判断机器人的行进方向。</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23、具有有线控制和无线控制切换功能。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24、具有便携式外部充电功能，内置式充电机，外部无需搭接充电机。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25、机器人启动后，发动机同步给蓄电池进行充电。</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26、可拖动满足机器人喷射流量的水带（10条以上充实的80mm水带）。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27、可实现边打水边行走。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28、机器人后方应不少于两路80mm进水口。</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29、机器人前方应配备可拆卸式电动绞盘。</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30、履带应为阻燃材料。</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31、底盘驱动类型：柴油转液压马达。</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32、液压采用：双功率流差速转向装置，履带速度无级调节。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33、发动机额定功率：≥18KW。</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34、可通过遥控底盘完成更大角度的灭火，底盘可360°原地转向。</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35、消防炮俯仰有自摆功能；自摆角度可调。</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36、最大涉水深度：≥30cm。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37、最大牵引力：≥5.2kN。</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38、最大爬坡角度：≥35°。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39、横向倾斜角≥30°。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40、整机连续稳定运行时间：≥8h；油箱容积≥30L。</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41、机器人具备远程启停功能。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42、可远程调节发动机转速，控制油耗，延长运行时间。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▲43、自重：≥1950kg。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▲44、外形尺寸：≤2260mm(长）*1530mm（宽）*1380mm（高）。</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45、注：标▲须在应急管理部消防产品合格评定中心出具的检测报告中体现，不体现或不满足视为负偏离。</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机器人运输车：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 基本数据 1.1★满足国VI排放标准要求；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1.2车厢制作采用铝型材工艺或电泳磷化工艺，牢固可靠，防腐防锈性能不低于8年；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1.3驾驶室可乘坐人数≥2人；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1.4配备前后保险杠，防护车身。</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 主要参数 2.1外形尺寸（mm）：≥8500×2500×3900；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2.2厢式尺寸（mm）：≥6500×2400×2500；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2.3总质量（kg）：≥18000；装备质量（kg）：≥7500；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2.4额定载质量（kg）：≥9900；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2.5▲发动机功率（kw）：≥210；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2.6排量（ml）：≥6800；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2.7驱动型式：4×2；</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2.8轴距（mm）：≥5000。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 驾驶室及乘员室 3.1两门标准驾驶室，带卧铺，具有中控锁、翻转助力系统，翻转支撑结构可靠；</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3.2配备冷暖空调，室内LED照明；</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3.3驾驶室后视镜安装要求：两侧电加热后视镜，两侧广角加热后视镜，并符合GB15083-2013《机动车辆间接视野装置性能和安装要求》；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3.4座位设置：驾驶员空气悬浮座椅，座位≥2人，乘员座椅舒适度符合长途乘坐要求；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3.5上下车踏板：踏板强度加强，具有防滑效果；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 上装部分 4.1底板厚度：≥3mm；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4.2边板规格：≥1.2mm；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4.3边梁规格：不低于120#型材；</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4.4▲采用升降尾板，液压平台的承载重量≥3000 Kg。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 电气设备 5.1车辆照明：采用≥24V电压，须符合GB4785-2019 规定要求；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5.2驾驶室内设置不少于1个24V/12V通讯电源接口；</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5.3附加电器应设为独立式电路，控制装置安装在驾驶室内。警报器、警灯、照明灯电路为独立式附加电路，控制器件安装在驾驶室内。</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 车身要求 6.1车身漆料：车厢表面喷涂消防红色漆，为保证夜间工作安全，车身设有符合安全标准要求的荧光反光带；6.2整车标识：按用户要求喷涂；</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6.3技术要求：应符合GB/T 3181的有关规定。</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 其他 7.1货厢配货物固定扎紧带；备用轮胎1只；</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7.2包含汽车保险、税、上牌等一切费用；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7.3必须提供所投车辆工信部公告、国家级检测机构出具的检验报告及有效证明文件。</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gridSpan w:val="5"/>
            <w:shd w:val="clear" w:color="auto" w:fill="e7e6e6" w:themeFill="background2"/>
            <w:tcW w:w="8837" w:type="dxa"/>
            <w:vAlign w:val="center"/>
            <w:textDirection w:val="lrTb"/>
            <w:noWrap w:val="false"/>
          </w:tcPr>
          <w:p>
            <w:pPr>
              <w:pStyle w:val="690"/>
              <w:jc w:val="center"/>
              <w:keepLines w:val="0"/>
              <w:keepNext w:val="0"/>
              <w:pageBreakBefore w:val="0"/>
              <w:spacing w:beforeAutospacing="0" w:afterAutospacing="0" w:line="240" w:lineRule="auto"/>
              <w:rPr>
                <w:rFonts w:hint="default" w:ascii="宋体" w:hAnsi="宋体" w:eastAsia="宋体" w:cs="宋体"/>
                <w:color w:val="000000"/>
                <w:sz w:val="18"/>
                <w:szCs w:val="18"/>
                <w:highlight w:val="none"/>
                <w:vertAlign w:val="baseline"/>
                <w:lang w:val="en-US" w:eastAsia="zh-CN"/>
              </w:rPr>
            </w:pPr>
            <w:r>
              <w:rPr>
                <w:rFonts w:hint="eastAsia" w:ascii="黑体" w:hAnsi="黑体" w:eastAsia="黑体" w:cs="黑体"/>
                <w:color w:val="000000"/>
                <w:sz w:val="18"/>
                <w:szCs w:val="18"/>
                <w:highlight w:val="none"/>
                <w:vertAlign w:val="baseline"/>
                <w:lang w:val="en-US" w:eastAsia="zh-CN"/>
              </w:rPr>
              <w:t xml:space="preserve">包九</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1</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5G单兵</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1、结构组成：主机、电池、背夹、数据线、安全箱</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2、主要应用场景：用于消防员灭火救援作业中移动过程中的视频传输</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▲3、应提供国家级或国家认可的第三方检测检验机构出具的检测检验报告，且报告应完整有效。</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▲4、出具的检测检验报告应包含检测标准依据：GB T15211-2013，GA T947.2-2015，GB 3836.1-2010 GB 3836.4-2010，GB T28181</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▲5、支持双摄像头采集、双MIC输入、双TF卡存储、双SIM卡传输</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▲6、配置要求支持Android7.1以上操作系统、8核CPU、主频不低于2.0Ghz，RAM≥4GB，ROM≥64GB，外接存储支持2X512GB</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7、视频压缩支持H.264或H.265，在两种压缩格式下，主副摄像头分辨率要求支持1920x1080、1280x720、640x480，主摄像头水平中心分辨力要求≥1300TVL、副摄像头水平中心分辨力要求≥600TVL，帧率1-30帧可调</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8、支持HDMI外接视频输入，分辨率支持1920x1080、1280x720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9、屏幕尺寸≥4.5吋，分辨率不低于1334*750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▲10、外壳防护等级支持IP68</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11、支持接入中国移动、中国电信、中国联通4G、5G网络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▲12、在开机状态下，6min内更换电池设备原工作状态不变，且数据不丢失</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13、支持裸机跌落，设备开机状态下，在垂直2000mm水泥地面6个面各跌落2次，设备能正常工作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14、外观尺寸≤180×80×40(mm) ，重量≤450克</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15、支持双码流输出，双码流参数可独立设置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16、支持红蓝绿三色指示欠压、充电、充满指示，支持低电量报警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17、支持在联网状态下与平台、其他设备进行群组对讲</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18、支持远程发送文字、图片、语音、视频短片</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19、设备内置北斗定位模块，内置定位天线，仅北斗定位模式，定位精度15m，支持将定位数据上传至服务器，同时支持可离线补传定位数据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20、具备开关机、旋转、菜单、翻页+/-、PTT、对讲、SOS、拍照、录像、等按键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▲21、原厂提供可无缝接入江苏省消防救援总队互联网图像管理平台和消防救援局图像综合管理平台承诺函，并加盖原厂公章</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22、设备工作温度-20℃至60℃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23、标配座充，可同时给主机和电池充电，随主机配备背夹、数据线</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24、持续工作时间不低于6h</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2</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无人机</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1、结构组成：小型双光无人机、含配件（包括原厂保护箱一个、电池四块、充电器、充电管家、RTK模块、喊话器、备用桨叶）</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2、主要应用场景：灭火救援工作中无人机侦查</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▲3、应提供国家级或国家认可的第三方检测检验机构出具的检测检验报告，且报告应完整有效。</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4、飞行器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（1）重量≤1000g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（2）轴距≤400mm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（3）GNSS系统：须包含北斗卫星</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（4）最大上升速度：≥5 m/s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（5）最大下降速度：≥5 m/s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（6）最大水平飞行速度：≥18m/s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（7）最大飞行海拔高度：≥5000米</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（8）最大飞行时间≥40分钟</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（9）GNSS系统：须包含北斗卫星</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5、红外相机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（1）红外相机分辨率≥640*512@30fps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（2）视频码率≥6Mbps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（3）传感器：非制冷氧化钒</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6、广角相机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（1）影像传感器≥1/2" CMOS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（2）有效像素≥4800万</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7、智能飞行</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（1）电池容量≥4500mAh</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（2）重量≤350克</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8、RTK 模块</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（1）功率≥1瓦</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（2）RTK 位置精度：在 RTK FIX 时1cm+1ppm （水平）1.5cm+1 ppm（垂直）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9、喊话器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（1）1米处最大响度≥100分贝</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（2）接口：USB-C</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▲10、遥控器：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（1）屏幕尺寸≥5.5英寸</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（2）支持HDMI或MINI HDMI接口输出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11、存储卡：内存容量≥64G</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12、机损险（3年）</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原厂服务，设备激活后一年内因非产品问题导致的付费维修，累计享有与设备主体等价值的免费维修额度，不限次数，并为飞行器产品提供第三者责任险</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r>
        <w:trPr>
          <w:jc w:val="center"/>
          <w:trHeight w:val="522"/>
        </w:trPr>
        <w:tc>
          <w:tcPr>
            <w:tcW w:w="74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3</w:t>
            </w:r>
            <w:r/>
          </w:p>
        </w:tc>
        <w:tc>
          <w:tcPr>
            <w:tcW w:w="90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5G布控球</w:t>
            </w:r>
            <w:r/>
          </w:p>
        </w:tc>
        <w:tc>
          <w:tcPr>
            <w:tcW w:w="5078"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一、基本描述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1、结构组成：布控球主机、防护箱、托盘、三脚支架、蓝牙耳机、充电线、球机安全绳、有线手咪和车载充电器。</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2、主要应用场景：用于消防员灭火救援作业现场图像实施传输。</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二、标准规范及检验报告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★3、产品提供由国家权威机构检验中心出具的检验报告</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▲4、产品通过基于GB16796-2009、GB/T 17626.2-2018、GB/T 17626.3-2016、GB/T 17626.5-2019、GB/T 15211-2013、GA/T645-2014检测依据"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三、检验报告内参数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▲5、产品要求具备双电源接口，1报警输入和1报警输出接口，双SD卡，4G+5G卡位，双扬声器、具备debug接口及复位按钮（以检测报告为准，原件备查）；</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▲6、支持近距离红外补光，远距离激光补光，可看清距样机100m处人体轮廓，补光角度：激光：≤15°，红外：≤60°（以检测报告为准，原件备查）；</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▲7、支持内置拾音器，支持通过语音智能控制样机向左转、向右转、向上转、向下转、停止转动、变倍、热点/无线切换等功能；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8、内置双扬声器，可自定义文本转语音播报，样机可外接有线手咪或无线蓝牙手咪，支持双向语音，支持集群对讲；</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9、支持人脸识别、支持未戴安全帽、未佩戴口罩、吸烟等行为检测、支持车牌识别，并可语音报警，将报警信息上传至服务器，同时将识别结果叠加在视频图像中；</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10、设备要求支持在-30-60℃下能正常工作；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11、设备静电放电抗扰度应符合GB/T17626.2-2018中试验等级3的规定，射频电磁场辐射抗扰度应符合GB/T17626.3-2016中试验等级3的规定，浪涌（冲击）抗扰度应符合GB/T17626.5-2019中试验等级4的规定，设备的电源插头或电源引入端与外壳裸露金属部件之间，应能承受GB16796-2009中表1规定的45Hz~65Hz交流电的抗电强度试验，历时1min应无击穿和飞弧现象</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12、设备外壳防护符合GB/T4208-2017中IP66的规定，带包装跌落高度1.5m跌落后，设备能正常工作。</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13、产品尺寸直径≤160mm，高度≤260mm；</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14、云台支持水平360°连续转动、垂直-20°-90°转动，水平转速≥120°/s，垂直转速≥30°/s；</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15、支持变倍控制、隐私区域遮挡、支持3D定位；</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16、编码算法支持H.264和H.265;</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17、要求支持视频双码流，双码流规格均支持1920×1080/1280x720/640x480，帧率1-30帧/秒可调，码流64kbps~10Mbps可设置；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18、支持图片抓拍，抓拍图片支持保存到本地或上传到服务器，且可在本地检索回放，图片分辨率支持1920×1080/1280x720/640x480；</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19、支持在输出的图像中叠加中文文字和符号信息，信息至少包括：时间、经纬度、名称等。支持根据分辨率适配字体大小：VGA：32*32、720P：48*48、1080P：64*64；</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20、网络通信功能：支持5G、4G通信；支持WiFi通信、AP热点通信，可通过手动或语音切换WiFi与AP热点模式；支持以太网，    10/100自适应全双工模式；支持蓝牙通信，可搜索蓝牙设备列表选择配对，并可保存配对信息和自动连接；</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21、可持双TF卡存储，单卡最大可支持512GB，存储格式具有流式文件和电脑通用文件格式可选，存储的录像文件支持通过有线和无线方式导出；</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22、设备内置北斗和GPS定位模块，内置定位天线，支持北斗优先定位或仅北斗定位模式，，GPS定位时长小于60s，定位精度15m，支持将定位数据上传至服务器，同时支持可离线补传定位数据；</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23、设备采用宽电源设计，DC8V-36V范围内，样机可正常工作，并支持ACC信号开关机；设备自带液晶显示屏，支持查看当前拨号、电量、网络、录像、定位和存储状态；</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24、支持远程配置设备参数，包括视频参数、网络参数、音频参数、定位参数、远程升级和恢复出厂设置等；支持通过手机连接样机AP热点，并可实现预览视频，双向语音对讲，录像查询、回放，以及视频/网络/音频/定位等参数配置功能；</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四、非检验报告内参数</w:t>
            </w:r>
            <w:r/>
          </w:p>
          <w:p>
            <w:pPr>
              <w:jc w:val="left"/>
              <w:keepLines w:val="0"/>
              <w:keepNext w:val="0"/>
              <w:pageBreakBefore w:val="0"/>
              <w:spacing w:line="240" w:lineRule="auto"/>
              <w:widowControl/>
              <w:rPr>
                <w:rFonts w:hint="eastAsia" w:ascii="宋体" w:hAnsi="宋体" w:eastAsia="宋体" w:cs="宋体"/>
                <w:color w:val="000000"/>
                <w:sz w:val="15"/>
                <w:szCs w:val="15"/>
                <w:highlight w:val="none"/>
                <w:vertAlign w:val="baseline"/>
                <w:lang w:val="en-US" w:eastAsia="zh-CN" w:bidi="ar-SA"/>
              </w:rPr>
              <w:suppressLineNumbers w:val="0"/>
            </w:pPr>
            <w:r>
              <w:rPr>
                <w:rFonts w:hint="eastAsia" w:ascii="宋体" w:hAnsi="宋体" w:eastAsia="宋体" w:cs="宋体"/>
                <w:color w:val="000000"/>
                <w:sz w:val="15"/>
                <w:szCs w:val="15"/>
                <w:highlight w:val="none"/>
                <w:vertAlign w:val="baseline"/>
                <w:lang w:val="en-US" w:eastAsia="zh-CN" w:bidi="ar-SA"/>
              </w:rPr>
              <w:t xml:space="preserve">★25、可无缝接入江苏省消防救援总队互联网图像管理平台和部局图像综合管理平台。"</w:t>
            </w:r>
            <w:r/>
          </w:p>
        </w:tc>
        <w:tc>
          <w:tcPr>
            <w:tcW w:w="1045"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i w:val="0"/>
                <w:iCs w:val="0"/>
                <w:color w:val="000000"/>
                <w:sz w:val="15"/>
                <w:szCs w:val="15"/>
                <w:u w:val="none"/>
                <w:lang w:val="en-US" w:eastAsia="zh-CN" w:bidi="ar"/>
              </w:rPr>
              <w:suppressLineNumbers w:val="0"/>
            </w:pPr>
            <w:r>
              <w:rPr>
                <w:rFonts w:hint="eastAsia" w:ascii="宋体" w:hAnsi="宋体" w:eastAsia="宋体" w:cs="宋体"/>
                <w:i w:val="0"/>
                <w:iCs w:val="0"/>
                <w:color w:val="000000"/>
                <w:sz w:val="15"/>
                <w:szCs w:val="15"/>
                <w:u w:val="none"/>
                <w:lang w:val="en-US" w:eastAsia="zh-CN" w:bidi="ar"/>
              </w:rPr>
              <w:t xml:space="preserve">4</w:t>
            </w:r>
            <w:r/>
          </w:p>
        </w:tc>
        <w:tc>
          <w:tcPr>
            <w:tcW w:w="1060" w:type="dxa"/>
            <w:vAlign w:val="center"/>
            <w:textDirection w:val="lrTb"/>
            <w:noWrap w:val="false"/>
          </w:tcPr>
          <w:p>
            <w:pPr>
              <w:pStyle w:val="690"/>
              <w:jc w:val="center"/>
              <w:keepLines w:val="0"/>
              <w:keepNext w:val="0"/>
              <w:pageBreakBefore w:val="0"/>
              <w:spacing w:beforeAutospacing="0" w:afterAutospacing="0" w:line="240" w:lineRule="auto"/>
              <w:rPr>
                <w:rFonts w:hint="eastAsia" w:ascii="宋体" w:hAnsi="宋体" w:eastAsia="宋体" w:cs="宋体"/>
                <w:color w:val="000000"/>
                <w:sz w:val="15"/>
                <w:szCs w:val="15"/>
                <w:highlight w:val="none"/>
                <w:vertAlign w:val="baseline"/>
                <w:lang w:eastAsia="zh-CN"/>
              </w:rPr>
            </w:pPr>
            <w:r>
              <w:rPr>
                <w:rFonts w:hint="eastAsia" w:ascii="宋体" w:hAnsi="宋体" w:eastAsia="宋体" w:cs="宋体"/>
                <w:color w:val="000000"/>
                <w:sz w:val="15"/>
                <w:szCs w:val="15"/>
                <w:highlight w:val="none"/>
                <w:vertAlign w:val="baseline"/>
                <w:lang w:val="en-US" w:eastAsia="zh-CN"/>
              </w:rPr>
              <w:t xml:space="preserve">工业</w:t>
            </w:r>
            <w:r/>
          </w:p>
        </w:tc>
      </w:tr>
    </w:tbl>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bookmarkStart w:id="197" w:name="_Toc184145593"/>
      <w:r/>
      <w:bookmarkStart w:id="198" w:name="_Toc211901916"/>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合同</w:t>
      </w:r>
      <w:bookmarkStart w:id="199" w:name="履行期限"/>
      <w:r>
        <w:rPr>
          <w:rFonts w:hint="eastAsia" w:ascii="宋体" w:hAnsi="宋体" w:eastAsia="宋体" w:cs="宋体"/>
          <w:color w:val="000000"/>
          <w:sz w:val="24"/>
          <w:szCs w:val="24"/>
          <w:highlight w:val="none"/>
        </w:rPr>
        <w:t xml:space="preserve">履行期限</w:t>
      </w:r>
      <w:bookmarkEnd w:id="197"/>
      <w:r/>
      <w:bookmarkEnd w:id="198"/>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合同履行期限：合同签订后</w:t>
      </w:r>
      <w:r>
        <w:rPr>
          <w:rFonts w:hint="eastAsia" w:ascii="宋体" w:hAnsi="宋体" w:eastAsia="宋体" w:cs="宋体"/>
          <w:color w:val="000000"/>
          <w:sz w:val="24"/>
          <w:szCs w:val="24"/>
          <w:highlight w:val="none"/>
          <w:u w:val="single"/>
          <w:lang w:val="en-US" w:eastAsia="zh-CN"/>
        </w:rPr>
        <w:t xml:space="preserve"> 30 </w:t>
      </w:r>
      <w:r>
        <w:rPr>
          <w:rFonts w:hint="eastAsia" w:ascii="宋体" w:hAnsi="宋体" w:eastAsia="宋体" w:cs="宋体"/>
          <w:color w:val="000000"/>
          <w:sz w:val="24"/>
          <w:szCs w:val="24"/>
          <w:highlight w:val="none"/>
        </w:rPr>
        <w:t xml:space="preserve">日历天内货物全部送达招标人指定位置且安装、调试完毕，并确保正常稳定运行。</w:t>
      </w:r>
      <w:bookmarkEnd w:id="199"/>
      <w:r>
        <w:rPr>
          <w:rFonts w:hint="eastAsia" w:ascii="宋体" w:hAnsi="宋体" w:eastAsia="宋体" w:cs="宋体"/>
          <w:color w:val="000000"/>
          <w:sz w:val="24"/>
          <w:szCs w:val="24"/>
          <w:highlight w:val="none"/>
        </w:rPr>
        <w:t xml:space="preserve">          </w:t>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bookmarkStart w:id="200" w:name="_Toc211901917"/>
      <w:r/>
      <w:bookmarkStart w:id="201" w:name="_Toc184145594"/>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质量要求</w:t>
      </w:r>
      <w:bookmarkEnd w:id="200"/>
      <w:r/>
      <w:bookmarkEnd w:id="201"/>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产品为全新未使用过的原装合格正品，产品及安装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如需要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质量要符合国家质量检测标准,安装质量满足相关法律法规及规范的要求，并满足招标人的实际使用需求。</w:t>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bookmarkStart w:id="202" w:name="_Toc211901918"/>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服务要求</w:t>
      </w:r>
      <w:bookmarkEnd w:id="202"/>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1.在质保保证期内，中标人为用户提供7*24小时电话或电子邮件服务，响应时间不超过</w:t>
      </w:r>
      <w:r>
        <w:rPr>
          <w:rFonts w:hint="eastAsia" w:ascii="宋体" w:hAnsi="宋体" w:eastAsia="宋体" w:cs="宋体"/>
          <w:color w:val="000000"/>
          <w:sz w:val="24"/>
          <w:szCs w:val="24"/>
          <w:highlight w:val="none"/>
          <w:u w:val="single"/>
          <w:lang w:val="en-US" w:eastAsia="zh-CN"/>
        </w:rPr>
        <w:t xml:space="preserve"> 120 </w:t>
      </w:r>
      <w:r>
        <w:rPr>
          <w:rFonts w:hint="eastAsia" w:ascii="宋体" w:hAnsi="宋体" w:eastAsia="宋体" w:cs="宋体"/>
          <w:color w:val="000000"/>
          <w:sz w:val="24"/>
          <w:szCs w:val="24"/>
          <w:highlight w:val="none"/>
        </w:rPr>
        <w:t xml:space="preserve">分钟，</w:t>
      </w:r>
      <w:r>
        <w:rPr>
          <w:rFonts w:hint="eastAsia" w:ascii="宋体" w:hAnsi="宋体" w:eastAsia="宋体" w:cs="宋体"/>
          <w:color w:val="000000"/>
          <w:sz w:val="24"/>
          <w:szCs w:val="24"/>
          <w:highlight w:val="none"/>
          <w:u w:val="single"/>
          <w:lang w:val="en-US" w:eastAsia="zh-CN"/>
        </w:rPr>
        <w:t xml:space="preserve"> 6 </w:t>
      </w:r>
      <w:r>
        <w:rPr>
          <w:rFonts w:hint="eastAsia" w:ascii="宋体" w:hAnsi="宋体" w:eastAsia="宋体" w:cs="宋体"/>
          <w:color w:val="000000"/>
          <w:sz w:val="24"/>
          <w:szCs w:val="24"/>
          <w:highlight w:val="none"/>
        </w:rPr>
        <w:t xml:space="preserve">小时内远程排除故障，若电话或网络中无法排除故障，维修人员须</w:t>
      </w:r>
      <w:r>
        <w:rPr>
          <w:rFonts w:hint="eastAsia" w:ascii="宋体" w:hAnsi="宋体" w:eastAsia="宋体" w:cs="宋体"/>
          <w:color w:val="000000"/>
          <w:sz w:val="24"/>
          <w:szCs w:val="24"/>
          <w:highlight w:val="none"/>
          <w:u w:val="single"/>
          <w:lang w:val="en-US" w:eastAsia="zh-CN"/>
        </w:rPr>
        <w:t xml:space="preserve"> 12 </w:t>
      </w:r>
      <w:r>
        <w:rPr>
          <w:rFonts w:hint="eastAsia" w:ascii="宋体" w:hAnsi="宋体" w:eastAsia="宋体" w:cs="宋体"/>
          <w:color w:val="000000"/>
          <w:sz w:val="24"/>
          <w:szCs w:val="24"/>
          <w:highlight w:val="none"/>
        </w:rPr>
        <w:t xml:space="preserve">小时内到达现场解决，到达现场后</w:t>
      </w:r>
      <w:r>
        <w:rPr>
          <w:rFonts w:hint="eastAsia" w:ascii="宋体" w:hAnsi="宋体" w:eastAsia="宋体" w:cs="宋体"/>
          <w:color w:val="000000"/>
          <w:sz w:val="24"/>
          <w:szCs w:val="24"/>
          <w:highlight w:val="none"/>
          <w:u w:val="single"/>
          <w:lang w:val="en-US" w:eastAsia="zh-CN"/>
        </w:rPr>
        <w:t xml:space="preserve"> 12 </w:t>
      </w:r>
      <w:r>
        <w:rPr>
          <w:rFonts w:hint="eastAsia" w:ascii="宋体" w:hAnsi="宋体" w:eastAsia="宋体" w:cs="宋体"/>
          <w:color w:val="000000"/>
          <w:sz w:val="24"/>
          <w:szCs w:val="24"/>
          <w:highlight w:val="none"/>
        </w:rPr>
        <w:t xml:space="preserve">小时内免费修复；无法修复时</w:t>
      </w:r>
      <w:r>
        <w:rPr>
          <w:rFonts w:hint="eastAsia" w:ascii="宋体" w:hAnsi="宋体" w:eastAsia="宋体" w:cs="宋体"/>
          <w:color w:val="000000"/>
          <w:sz w:val="24"/>
          <w:szCs w:val="24"/>
          <w:highlight w:val="none"/>
          <w:u w:val="single"/>
          <w:lang w:val="en-US" w:eastAsia="zh-CN"/>
        </w:rPr>
        <w:t xml:space="preserve"> 2 </w:t>
      </w:r>
      <w:r>
        <w:rPr>
          <w:rFonts w:hint="eastAsia" w:ascii="宋体" w:hAnsi="宋体" w:eastAsia="宋体" w:cs="宋体"/>
          <w:color w:val="000000"/>
          <w:sz w:val="24"/>
          <w:szCs w:val="24"/>
          <w:highlight w:val="none"/>
        </w:rPr>
        <w:t xml:space="preserve">日内免费更换配件，维修至正常工作，并保证所换配件满足招标文件要求，如</w:t>
      </w:r>
      <w:r>
        <w:rPr>
          <w:rFonts w:hint="eastAsia" w:ascii="宋体" w:hAnsi="宋体" w:eastAsia="宋体" w:cs="宋体"/>
          <w:color w:val="000000"/>
          <w:sz w:val="24"/>
          <w:szCs w:val="24"/>
          <w:highlight w:val="none"/>
          <w:u w:val="single"/>
          <w:lang w:val="en-US" w:eastAsia="zh-CN"/>
        </w:rPr>
        <w:t xml:space="preserve"> 24 </w:t>
      </w:r>
      <w:r>
        <w:rPr>
          <w:rFonts w:hint="eastAsia" w:ascii="宋体" w:hAnsi="宋体" w:eastAsia="宋体" w:cs="宋体"/>
          <w:color w:val="000000"/>
          <w:sz w:val="24"/>
          <w:szCs w:val="24"/>
          <w:highlight w:val="none"/>
        </w:rPr>
        <w:t xml:space="preserve">小时内不能到位的，采购人有权自行维修或更换配件，其费用在中标人合同余款中扣除，且另按500元／天从合同余款中扣除违约金，直至本次维修项通过验收。</w:t>
      </w:r>
      <w:r/>
    </w:p>
    <w:p>
      <w:pPr>
        <w:pStyle w:val="690"/>
        <w:ind w:firstLine="480"/>
        <w:jc w:val="both"/>
        <w:keepLines w:val="0"/>
        <w:keepNext w:val="0"/>
        <w:pageBreakBefore w:val="0"/>
        <w:spacing w:beforeAutospacing="0" w:afterAutospacing="0" w:line="0" w:lineRule="atLeast"/>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2.质量保证期满后，供应商和厂家应同样提供免费电话咨询服务，并以优惠价格提供售后服务；</w:t>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3.所投产品厂家提供不少于</w:t>
      </w:r>
      <w:r>
        <w:rPr>
          <w:rFonts w:hint="eastAsia" w:ascii="宋体" w:hAnsi="宋体" w:eastAsia="宋体" w:cs="宋体"/>
          <w:color w:val="000000"/>
          <w:sz w:val="24"/>
          <w:szCs w:val="24"/>
          <w:highlight w:val="none"/>
          <w:u w:val="single"/>
          <w:lang w:val="en-US" w:eastAsia="zh-CN"/>
        </w:rPr>
        <w:t xml:space="preserve"> 3 </w:t>
      </w:r>
      <w:r>
        <w:rPr>
          <w:rFonts w:hint="eastAsia" w:ascii="宋体" w:hAnsi="宋体" w:eastAsia="宋体" w:cs="宋体"/>
          <w:color w:val="000000"/>
          <w:sz w:val="24"/>
          <w:szCs w:val="24"/>
          <w:highlight w:val="none"/>
        </w:rPr>
        <w:t xml:space="preserve">次的免费培训。</w:t>
      </w:r>
      <w:r/>
    </w:p>
    <w:p>
      <w:pPr>
        <w:pStyle w:val="690"/>
        <w:ind w:firstLine="480"/>
        <w:jc w:val="both"/>
        <w:keepLines w:val="0"/>
        <w:keepNext w:val="0"/>
        <w:pageBreakBefore w:val="0"/>
        <w:spacing w:beforeAutospacing="0" w:afterAutospacing="0"/>
        <w:widowControl w:val="off"/>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七</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rPr>
        <w:t xml:space="preserve">本项目</w:t>
      </w:r>
      <w:r>
        <w:rPr>
          <w:rFonts w:hint="eastAsia" w:ascii="宋体" w:hAnsi="宋体" w:eastAsia="宋体" w:cs="宋体"/>
          <w:i w:val="0"/>
          <w:iCs/>
          <w:color w:val="auto"/>
          <w:sz w:val="24"/>
          <w:szCs w:val="24"/>
          <w:highlight w:val="none"/>
          <w:u w:val="none"/>
          <w:shd w:val="clear" w:color="auto" w:fill="auto"/>
          <w:lang w:val="en-US" w:eastAsia="zh-CN"/>
        </w:rPr>
        <w:t xml:space="preserve">所有包均</w:t>
      </w:r>
      <w:r>
        <w:rPr>
          <w:rFonts w:hint="eastAsia" w:ascii="宋体" w:hAnsi="宋体" w:eastAsia="宋体" w:cs="宋体"/>
          <w:i w:val="0"/>
          <w:iCs/>
          <w:color w:val="auto"/>
          <w:sz w:val="24"/>
          <w:szCs w:val="24"/>
          <w:highlight w:val="none"/>
          <w:u w:val="none"/>
          <w:shd w:val="clear" w:color="auto" w:fill="auto"/>
        </w:rPr>
        <w:t xml:space="preserve">不接受进口产品投标</w:t>
      </w:r>
      <w:r/>
    </w:p>
    <w:p>
      <w:pPr>
        <w:pStyle w:val="690"/>
        <w:ind w:firstLine="480"/>
        <w:jc w:val="both"/>
        <w:keepLines w:val="0"/>
        <w:keepNext w:val="0"/>
        <w:pageBreakBefore w:val="0"/>
        <w:spacing w:beforeAutospacing="0" w:afterAutospacing="0" w:line="0" w:lineRule="atLeast"/>
        <w:widowControl w:val="off"/>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lang w:val="en-US" w:eastAsia="zh-CN"/>
        </w:rPr>
        <w:t xml:space="preserve">八</w:t>
      </w:r>
      <w:r>
        <w:rPr>
          <w:rFonts w:hint="eastAsia" w:ascii="宋体" w:hAnsi="宋体" w:eastAsia="宋体" w:cs="宋体"/>
          <w:i w:val="0"/>
          <w:iCs/>
          <w:color w:val="auto"/>
          <w:sz w:val="24"/>
          <w:szCs w:val="24"/>
          <w:highlight w:val="none"/>
          <w:u w:val="none"/>
          <w:shd w:val="clear" w:color="auto" w:fill="auto"/>
          <w:lang w:eastAsia="zh-CN"/>
        </w:rPr>
        <w:t xml:space="preserve">）</w:t>
      </w:r>
      <w:r>
        <w:rPr>
          <w:rFonts w:hint="eastAsia" w:ascii="宋体" w:hAnsi="宋体" w:eastAsia="宋体" w:cs="宋体"/>
          <w:i w:val="0"/>
          <w:iCs/>
          <w:color w:val="auto"/>
          <w:sz w:val="24"/>
          <w:szCs w:val="24"/>
          <w:highlight w:val="none"/>
          <w:u w:val="none"/>
          <w:shd w:val="clear" w:color="auto" w:fill="auto"/>
        </w:rPr>
        <w:t xml:space="preserve">采购标的对应的中小企业划分标准所属行业一览表</w:t>
      </w:r>
      <w:r/>
    </w:p>
    <w:tbl>
      <w:tblPr>
        <w:tblStyle w:val="684"/>
        <w:tblW w:w="8274"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88"/>
        <w:gridCol w:w="3739"/>
        <w:gridCol w:w="3047"/>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1488" w:type="dxa"/>
            <w:vAlign w:val="center"/>
            <w:textDirection w:val="lrTb"/>
            <w:noWrap w:val="false"/>
          </w:tcPr>
          <w:p>
            <w:pPr>
              <w:pStyle w:val="690"/>
              <w:jc w:val="center"/>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39" w:type="dxa"/>
            <w:vAlign w:val="center"/>
            <w:textDirection w:val="lrTb"/>
            <w:noWrap w:val="false"/>
          </w:tcPr>
          <w:p>
            <w:pPr>
              <w:pStyle w:val="702"/>
              <w:ind w:firstLine="0"/>
              <w:rPr>
                <w:rFonts w:hint="eastAsia" w:ascii="宋体" w:hAnsi="宋体" w:eastAsia="宋体" w:cs="宋体"/>
                <w:color w:val="auto"/>
                <w:sz w:val="24"/>
                <w:szCs w:val="24"/>
                <w:highlight w:val="none"/>
                <w:shd w:val="clear" w:color="auto" w:fill="auto"/>
              </w:rPr>
            </w:pPr>
            <w:r>
              <w:rPr>
                <w:rFonts w:hint="eastAsia"/>
              </w:rPr>
              <w:t xml:space="preserve">详见本章</w:t>
            </w:r>
            <w:r>
              <w:rPr>
                <w:rFonts w:hint="eastAsia" w:cs="仿宋"/>
              </w:rPr>
              <w:t xml:space="preserve">采购清单</w:t>
            </w:r>
            <w:r/>
          </w:p>
        </w:tc>
        <w:tc>
          <w:tcPr>
            <w:shd w:val="clear" w:color="auto" w:fill="auto"/>
            <w:tcBorders>
              <w:top w:val="single" w:color="000000" w:sz="4" w:space="0"/>
              <w:left w:val="single" w:color="000000" w:sz="4" w:space="0"/>
              <w:bottom w:val="single" w:color="000000" w:sz="4" w:space="0"/>
              <w:right w:val="single" w:color="000000" w:sz="4" w:space="0"/>
            </w:tcBorders>
            <w:tcW w:w="3047" w:type="dxa"/>
            <w:vAlign w:val="center"/>
            <w:textDirection w:val="lrTb"/>
            <w:noWrap w:val="false"/>
          </w:tcPr>
          <w:p>
            <w:pPr>
              <w:pStyle w:val="702"/>
              <w:ind w:firstLine="0"/>
              <w:rPr>
                <w:rFonts w:hint="eastAsia" w:ascii="宋体" w:hAnsi="宋体" w:eastAsia="宋体" w:cs="宋体"/>
                <w:color w:val="auto"/>
                <w:sz w:val="24"/>
                <w:szCs w:val="24"/>
                <w:highlight w:val="none"/>
                <w:shd w:val="clear" w:color="auto" w:fill="auto"/>
              </w:rPr>
            </w:pPr>
            <w:r>
              <w:rPr>
                <w:rFonts w:hint="eastAsia"/>
              </w:rPr>
              <w:t xml:space="preserve">详见本章</w:t>
            </w:r>
            <w:r>
              <w:rPr>
                <w:rFonts w:hint="eastAsia" w:cs="仿宋"/>
              </w:rPr>
              <w:t xml:space="preserve">采购清单</w:t>
            </w:r>
            <w:r/>
          </w:p>
        </w:tc>
      </w:tr>
    </w:tbl>
    <w:p>
      <w:pPr>
        <w:pStyle w:val="690"/>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90"/>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bookmarkStart w:id="203" w:name="_Toc120614281"/>
      <w:r/>
      <w:r/>
    </w:p>
    <w:p>
      <w:pPr>
        <w:pStyle w:val="690"/>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ind w:firstLine="602"/>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90"/>
        <w:jc w:val="both"/>
        <w:spacing w:beforeAutospacing="0" w:afterAutospacing="0"/>
        <w:rPr>
          <w:highlight w:val="none"/>
        </w:rPr>
      </w:pPr>
      <w:r>
        <w:rPr>
          <w:highlight w:val="none"/>
        </w:rPr>
        <w:t xml:space="preserve"> </w:t>
      </w:r>
      <w:r/>
    </w:p>
    <w:p>
      <w:p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90"/>
        <w:ind w:left="0" w:firstLine="482"/>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1、小微型企业价格扣除</w:t>
      </w:r>
      <w:r/>
    </w:p>
    <w:p>
      <w:pPr>
        <w:pStyle w:val="699"/>
        <w:ind w:left="0" w:firstLine="480"/>
        <w:keepLines w:val="0"/>
        <w:keepNext w:val="0"/>
        <w:pageBreakBefore w:val="0"/>
        <w:spacing w:before="0"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（1）本项目若不专门面向中小企业采购，对</w:t>
      </w:r>
      <w:r>
        <w:rPr>
          <w:rFonts w:hint="eastAsia" w:ascii="宋体" w:hAnsi="宋体" w:eastAsia="宋体" w:cs="宋体"/>
          <w:sz w:val="24"/>
          <w:szCs w:val="24"/>
          <w:highlight w:val="none"/>
          <w:lang w:val="en-US" w:eastAsia="zh-CN"/>
        </w:rPr>
        <w:t xml:space="preserve">符合规定的</w:t>
      </w:r>
      <w:r>
        <w:rPr>
          <w:rFonts w:hint="eastAsia" w:ascii="宋体" w:hAnsi="宋体" w:eastAsia="宋体" w:cs="宋体"/>
          <w:sz w:val="24"/>
          <w:szCs w:val="24"/>
          <w:highlight w:val="none"/>
        </w:rPr>
        <w:t xml:space="preserve">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给予20%的扣除价格，用扣除后的价格参与评审；若专门面向中小企业采购，不再对小型和微型企业</w:t>
      </w:r>
      <w:r>
        <w:rPr>
          <w:rFonts w:hint="eastAsia" w:ascii="宋体" w:hAnsi="宋体" w:eastAsia="宋体" w:cs="宋体"/>
          <w:sz w:val="24"/>
          <w:szCs w:val="24"/>
          <w:highlight w:val="none"/>
          <w:lang w:val="en-US" w:eastAsia="zh-CN"/>
        </w:rPr>
        <w:t xml:space="preserve">报价</w:t>
      </w:r>
      <w:r>
        <w:rPr>
          <w:rFonts w:hint="eastAsia" w:ascii="宋体" w:hAnsi="宋体" w:eastAsia="宋体" w:cs="宋体"/>
          <w:sz w:val="24"/>
          <w:szCs w:val="24"/>
          <w:highlight w:val="none"/>
        </w:rPr>
        <w:t xml:space="preserve">给予价格扣除。投标人</w:t>
      </w:r>
      <w:r>
        <w:rPr>
          <w:rFonts w:hint="eastAsia" w:ascii="宋体" w:hAnsi="宋体" w:eastAsia="宋体" w:cs="宋体"/>
          <w:sz w:val="24"/>
          <w:szCs w:val="24"/>
          <w:highlight w:val="none"/>
          <w:lang w:val="en-US" w:eastAsia="zh-CN"/>
        </w:rPr>
        <w:t xml:space="preserve">如</w:t>
      </w:r>
      <w:r>
        <w:rPr>
          <w:rFonts w:hint="eastAsia" w:ascii="宋体" w:hAnsi="宋体" w:eastAsia="宋体" w:cs="宋体"/>
          <w:sz w:val="24"/>
          <w:szCs w:val="24"/>
          <w:highlight w:val="none"/>
        </w:rPr>
        <w:t xml:space="preserve">必须为中小微企业（或监狱企业或残疾人福利性单位）</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，不接受非中小微型企业（或监狱企业或残疾人福利性单位）参与本项目投标。</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rPr>
          <w:rFonts w:hint="eastAsia" w:ascii="宋体" w:hAnsi="宋体" w:eastAsia="宋体" w:cs="宋体"/>
          <w:color w:val="000000"/>
          <w:sz w:val="24"/>
          <w:szCs w:val="24"/>
          <w:highlight w:val="none"/>
        </w:rPr>
        <w:t xml:space="preserve">》。</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（3）企业标准请参照《关于印发中小企业划型标准规定的通知》（工信部联企业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）文件规定自行填写。</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2、残疾人福利单位价格扣除</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（1）本项目对残疾人福利性单位视同小型、微型企业，给予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（2）残疾人福利单位需按照采购文件的要求提供《残疾人福利性单位声明函》。</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（3）残疾人福利单位标准请参照《关于促进残疾人就业政府采购政策的通知》（财库〔2017〕141号）。</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3、监狱和戒毒企业价格扣除</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（1）本项目对监狱和戒毒企业（简称监狱企业）视同小型、微型企业，给予</w:t>
      </w:r>
      <w:r>
        <w:rPr>
          <w:rFonts w:hint="eastAsia" w:ascii="宋体" w:hAnsi="宋体" w:eastAsia="宋体" w:cs="宋体"/>
          <w:color w:val="000000"/>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（3）监狱企业标准请参照《关于政府采购支持监狱企业发展有关问题的通知》（财库</w:t>
      </w:r>
      <w:r>
        <w:rPr>
          <w:rFonts w:hint="eastAsia" w:ascii="宋体" w:hAnsi="宋体" w:eastAsia="宋体" w:cs="宋体"/>
          <w:color w:val="000000"/>
          <w:sz w:val="24"/>
          <w:szCs w:val="24"/>
          <w:highlight w:val="none"/>
          <w:lang w:eastAsia="zh-CN"/>
        </w:rPr>
        <w:t xml:space="preserve">〔2014〕68号</w:t>
      </w:r>
      <w:r>
        <w:rPr>
          <w:rFonts w:hint="eastAsia" w:ascii="宋体" w:hAnsi="宋体" w:eastAsia="宋体" w:cs="宋体"/>
          <w:color w:val="000000"/>
          <w:sz w:val="24"/>
          <w:szCs w:val="24"/>
          <w:highlight w:val="none"/>
        </w:rPr>
        <w:t xml:space="preserve">）。</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4、残疾人福利单位、监狱企业属于小型、微型企业的，不重复享受政策。</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4"/>
          <w:szCs w:val="24"/>
          <w:highlight w:val="none"/>
          <w:u w:val="single"/>
        </w:rPr>
        <w:t xml:space="preserve">6%</w:t>
      </w:r>
      <w:r>
        <w:rPr>
          <w:rFonts w:hint="eastAsia" w:ascii="宋体" w:hAnsi="宋体" w:eastAsia="宋体" w:cs="宋体"/>
          <w:color w:val="000000"/>
          <w:sz w:val="24"/>
          <w:szCs w:val="24"/>
          <w:highlight w:val="none"/>
        </w:rPr>
        <w:t xml:space="preserve">的价格扣除，用扣除后的价格参与评审。</w:t>
      </w:r>
      <w:r/>
    </w:p>
    <w:p>
      <w:pPr>
        <w:pStyle w:val="690"/>
        <w:ind w:lef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000000"/>
          <w:sz w:val="24"/>
          <w:szCs w:val="24"/>
          <w:highlight w:val="none"/>
        </w:rPr>
        <w:t xml:space="preserve">6、联合体各方均为小型、微型企业（残疾人福利单位、监狱企业）的，联合</w:t>
      </w:r>
      <w:r>
        <w:rPr>
          <w:rFonts w:hint="eastAsia" w:ascii="宋体" w:hAnsi="宋体" w:eastAsia="宋体" w:cs="宋体"/>
          <w:color w:val="auto"/>
          <w:sz w:val="24"/>
          <w:szCs w:val="24"/>
          <w:highlight w:val="none"/>
        </w:rPr>
        <w:t xml:space="preserve">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000000"/>
          <w:sz w:val="24"/>
          <w:szCs w:val="24"/>
          <w:highlight w:val="none"/>
        </w:rPr>
        <w:t xml:space="preserve">的价格扣除</w:t>
      </w:r>
      <w:r>
        <w:rPr>
          <w:rFonts w:hint="eastAsia" w:ascii="宋体" w:hAnsi="宋体" w:eastAsia="宋体" w:cs="宋体"/>
          <w:color w:val="000000"/>
          <w:sz w:val="24"/>
          <w:szCs w:val="24"/>
          <w:highlight w:val="none"/>
          <w:lang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pStyle w:val="690"/>
        <w:ind w:left="0" w:firstLine="482"/>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评标方法与评标标准</w:t>
      </w:r>
      <w:r/>
    </w:p>
    <w:tbl>
      <w:tblPr>
        <w:tblStyle w:val="684"/>
        <w:tblW w:w="547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392"/>
        <w:gridCol w:w="1203"/>
        <w:gridCol w:w="5987"/>
      </w:tblGrid>
      <w:tr>
        <w:trPr>
          <w:jc w:val="center"/>
          <w:trHeight w:val="557"/>
        </w:trPr>
        <w:tc>
          <w:tcPr>
            <w:tcW w:w="755" w:type="dxa"/>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序号</w:t>
            </w:r>
            <w:r/>
          </w:p>
        </w:tc>
        <w:tc>
          <w:tcPr>
            <w:tcW w:w="1392"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评审</w:t>
            </w:r>
            <w:r/>
          </w:p>
          <w:p>
            <w:pPr>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因素</w:t>
            </w:r>
            <w:r/>
          </w:p>
        </w:tc>
        <w:tc>
          <w:tcPr>
            <w:tcW w:w="1203" w:type="dxa"/>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分值权重</w:t>
            </w:r>
            <w:r/>
          </w:p>
        </w:tc>
        <w:tc>
          <w:tcPr>
            <w:tcW w:w="5987" w:type="dxa"/>
            <w:vAlign w:val="center"/>
            <w:textDirection w:val="lrTb"/>
            <w:noWrap w:val="false"/>
          </w:tcPr>
          <w:p>
            <w:pPr>
              <w:ind w:firstLine="400"/>
              <w:jc w:val="center"/>
              <w:keepLines w:val="0"/>
              <w:keepNext w:val="0"/>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评分标准</w:t>
            </w:r>
            <w:r/>
          </w:p>
        </w:tc>
      </w:tr>
      <w:tr>
        <w:trPr>
          <w:jc w:val="center"/>
          <w:trHeight w:val="913"/>
        </w:trPr>
        <w:tc>
          <w:tcPr>
            <w:tcW w:w="755" w:type="dxa"/>
            <w:vAlign w:val="center"/>
            <w:textDirection w:val="lrTb"/>
            <w:noWrap w:val="false"/>
          </w:tcPr>
          <w:p>
            <w:pPr>
              <w:ind w:firstLine="220"/>
              <w:jc w:val="both"/>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1</w:t>
            </w:r>
            <w:r/>
          </w:p>
        </w:tc>
        <w:tc>
          <w:tcPr>
            <w:tcW w:w="1392"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投标报价</w:t>
            </w:r>
            <w:r/>
          </w:p>
        </w:tc>
        <w:tc>
          <w:tcPr>
            <w:tcW w:w="1203" w:type="dxa"/>
            <w:vAlign w:val="center"/>
            <w:textDirection w:val="lrTb"/>
            <w:noWrap w:val="false"/>
          </w:tcPr>
          <w:p>
            <w:pPr>
              <w:ind w:firstLine="220"/>
              <w:jc w:val="both"/>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30分</w:t>
            </w:r>
            <w:r/>
          </w:p>
        </w:tc>
        <w:tc>
          <w:tcPr>
            <w:tcW w:w="5987" w:type="dxa"/>
            <w:vAlign w:val="center"/>
            <w:textDirection w:val="lrTb"/>
            <w:noWrap w:val="false"/>
          </w:tcPr>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满足招标文件要求且投标报价最低的投标报价为评审基准价，其价格分为满分。其他投标人的价格分统一按照下列公式计算：投标报价得分＝（评审基准价／投标报价）*30 分。</w:t>
            </w:r>
            <w:r/>
          </w:p>
        </w:tc>
      </w:tr>
      <w:tr>
        <w:trPr>
          <w:jc w:val="center"/>
          <w:trHeight w:val="511"/>
        </w:trPr>
        <w:tc>
          <w:tcPr>
            <w:tcW w:w="755" w:type="dxa"/>
            <w:vAlign w:val="center"/>
            <w:textDirection w:val="lrTb"/>
            <w:noWrap w:val="false"/>
          </w:tcPr>
          <w:p>
            <w:pPr>
              <w:ind w:firstLine="220"/>
              <w:jc w:val="both"/>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2</w:t>
            </w:r>
            <w:r/>
          </w:p>
        </w:tc>
        <w:tc>
          <w:tcPr>
            <w:tcW w:w="1392"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业 绩</w:t>
            </w:r>
            <w:r/>
          </w:p>
        </w:tc>
        <w:tc>
          <w:tcPr>
            <w:tcW w:w="1203" w:type="dxa"/>
            <w:vAlign w:val="center"/>
            <w:textDirection w:val="lrTb"/>
            <w:noWrap w:val="false"/>
          </w:tcPr>
          <w:p>
            <w:pPr>
              <w:jc w:val="center"/>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6分</w:t>
            </w:r>
            <w:r/>
          </w:p>
        </w:tc>
        <w:tc>
          <w:tcPr>
            <w:tcW w:w="5987" w:type="dxa"/>
            <w:vAlign w:val="center"/>
            <w:textDirection w:val="lrTb"/>
            <w:noWrap w:val="false"/>
          </w:tcPr>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1、投标人自2022年12月1日以来（以合同签订时间为准）承担过消防装备器材类似采购项目业绩，每提供一个得2分，本项最高得6分。</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注：投标时须同时提供合同扫描件，未提供不得分。</w:t>
            </w:r>
            <w:r/>
          </w:p>
        </w:tc>
      </w:tr>
      <w:tr>
        <w:trPr>
          <w:jc w:val="center"/>
          <w:trHeight w:val="863"/>
        </w:trPr>
        <w:tc>
          <w:tcPr>
            <w:tcW w:w="755" w:type="dxa"/>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W w:w="139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CN" w:bidi="zh-CN"/>
              </w:rPr>
              <w:t xml:space="preserve">技术参数</w:t>
            </w:r>
            <w:r/>
          </w:p>
          <w:p>
            <w:pPr>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zh-CN" w:eastAsia="zh-CN" w:bidi="zh-CN"/>
              </w:rPr>
            </w:pPr>
            <w:r>
              <w:rPr>
                <w:rFonts w:hint="eastAsia" w:ascii="宋体" w:hAnsi="宋体" w:eastAsia="宋体" w:cs="宋体"/>
                <w:b w:val="0"/>
                <w:bCs w:val="0"/>
                <w:color w:val="auto"/>
                <w:sz w:val="21"/>
                <w:szCs w:val="21"/>
                <w:highlight w:val="none"/>
                <w:lang w:val="zh-CN" w:eastAsia="zh-CN" w:bidi="zh-CN"/>
              </w:rPr>
              <w:t xml:space="preserve">响应</w:t>
            </w:r>
            <w:r/>
          </w:p>
        </w:tc>
        <w:tc>
          <w:tcPr>
            <w:tcW w:w="1203" w:type="dxa"/>
            <w:vAlign w:val="center"/>
            <w:textDirection w:val="lrTb"/>
            <w:noWrap w:val="false"/>
          </w:tcPr>
          <w:p>
            <w:pPr>
              <w:ind w:firstLine="0"/>
              <w:jc w:val="center"/>
              <w:spacing w:line="240" w:lineRule="auto"/>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34分</w:t>
            </w:r>
            <w:r/>
          </w:p>
        </w:tc>
        <w:tc>
          <w:tcPr>
            <w:tcW w:w="5987" w:type="dxa"/>
            <w:vAlign w:val="center"/>
            <w:textDirection w:val="lrTb"/>
            <w:noWrap w:val="false"/>
          </w:tcPr>
          <w:p>
            <w:pPr>
              <w:ind w:firstLine="420"/>
              <w:jc w:val="both"/>
              <w:keepLines w:val="0"/>
              <w:keepNext w:val="0"/>
              <w:pageBreakBefore w:val="0"/>
              <w:spacing w:line="240" w:lineRule="auto"/>
              <w:widowControl w:val="off"/>
              <w:rPr>
                <w:rFonts w:hint="eastAsia" w:cs="宋体" w:asciiTheme="minorEastAsia" w:hAnsiTheme="minorEastAsia"/>
                <w:bCs/>
                <w:sz w:val="21"/>
                <w:szCs w:val="21"/>
              </w:rPr>
            </w:pPr>
            <w:r>
              <w:rPr>
                <w:rFonts w:hint="eastAsia" w:cs="宋体" w:asciiTheme="minorEastAsia" w:hAnsiTheme="minorEastAsia"/>
                <w:bCs/>
                <w:sz w:val="21"/>
                <w:szCs w:val="21"/>
              </w:rPr>
              <w:t xml:space="preserve">本项目技术参数中带“★”（核心参数）、“▲”（重要参数）的技术参数响应性评分按百分比折算方式进行计分。投标人须提供投标产品技术参数与招标文件要求的逐条响应对照表，评委依据对照表并结合投标文件佐证材料，核查投标产品技术参数响应情况。</w:t>
            </w:r>
            <w:r/>
          </w:p>
          <w:p>
            <w:pPr>
              <w:ind w:firstLine="420"/>
              <w:jc w:val="both"/>
              <w:keepLines w:val="0"/>
              <w:keepNext w:val="0"/>
              <w:pageBreakBefore w:val="0"/>
              <w:spacing w:line="240" w:lineRule="auto"/>
              <w:widowControl w:val="off"/>
              <w:rPr>
                <w:rFonts w:hint="eastAsia" w:cs="宋体" w:asciiTheme="minorEastAsia" w:hAnsiTheme="minorEastAsia"/>
                <w:bCs/>
                <w:sz w:val="21"/>
                <w:szCs w:val="21"/>
              </w:rPr>
            </w:pPr>
            <w:r>
              <w:rPr>
                <w:rFonts w:hint="eastAsia" w:cs="宋体" w:asciiTheme="minorEastAsia" w:hAnsiTheme="minorEastAsia"/>
                <w:bCs/>
                <w:sz w:val="21"/>
                <w:szCs w:val="21"/>
              </w:rPr>
              <w:t xml:space="preserve">带 “★” 技术参数符合率达到100%的得 17 分；达到 80%（含）-99% 的得 12 分；达到 50%（含）-79% 的得 7 分；达到 30%（含）-49% 的得 2 分；低于 30% 的本项不得分；</w:t>
            </w:r>
            <w:r/>
          </w:p>
          <w:p>
            <w:pPr>
              <w:ind w:firstLine="420"/>
              <w:jc w:val="both"/>
              <w:keepLines w:val="0"/>
              <w:keepNext w:val="0"/>
              <w:pageBreakBefore w:val="0"/>
              <w:spacing w:line="240" w:lineRule="auto"/>
              <w:widowControl w:val="off"/>
              <w:rPr>
                <w:rFonts w:hint="eastAsia" w:cs="宋体" w:asciiTheme="minorEastAsia" w:hAnsiTheme="minorEastAsia"/>
                <w:bCs/>
                <w:sz w:val="21"/>
                <w:szCs w:val="21"/>
              </w:rPr>
            </w:pPr>
            <w:r>
              <w:rPr>
                <w:rFonts w:hint="eastAsia" w:cs="宋体" w:asciiTheme="minorEastAsia" w:hAnsiTheme="minorEastAsia"/>
                <w:bCs/>
                <w:sz w:val="21"/>
                <w:szCs w:val="21"/>
              </w:rPr>
              <w:t xml:space="preserve">带“▲”技术参数符合率达到 100% 的得 17 分；达到 80%（含）-99% 的得 12 分；达到 50%（含）-79% 的得 7 分；达到 30%（含）-49% 的得 2 分；低于 30% 的本项不得分。</w:t>
            </w:r>
            <w:r/>
          </w:p>
          <w:p>
            <w:pPr>
              <w:ind w:firstLine="422"/>
              <w:jc w:val="both"/>
              <w:keepLines w:val="0"/>
              <w:keepNext w:val="0"/>
              <w:pageBreakBefore w:val="0"/>
              <w:spacing w:line="240" w:lineRule="auto"/>
              <w:widowControl w:val="off"/>
              <w:rPr>
                <w:rFonts w:hint="eastAsia" w:cs="宋体" w:asciiTheme="minorEastAsia" w:hAnsiTheme="minorEastAsia"/>
                <w:bCs/>
                <w:sz w:val="21"/>
                <w:szCs w:val="21"/>
              </w:rPr>
            </w:pPr>
            <w:r>
              <w:rPr>
                <w:rFonts w:hint="eastAsia" w:cs="宋体" w:asciiTheme="minorEastAsia" w:hAnsiTheme="minorEastAsia"/>
                <w:b/>
                <w:bCs w:val="0"/>
                <w:sz w:val="21"/>
                <w:szCs w:val="21"/>
              </w:rPr>
              <w:t xml:space="preserve">注 1：</w:t>
            </w:r>
            <w:r>
              <w:rPr>
                <w:rFonts w:hint="eastAsia" w:cs="宋体" w:asciiTheme="minorEastAsia" w:hAnsiTheme="minorEastAsia"/>
                <w:bCs/>
                <w:sz w:val="21"/>
                <w:szCs w:val="21"/>
              </w:rPr>
              <w:t xml:space="preserve">符合率计算公式：符合率 =（符合招标文件要求的 “★”/“▲” 参数条数÷对应类别参数总条数）×100%，计算结果四舍五入保留两位小数。</w:t>
            </w:r>
            <w:r/>
          </w:p>
          <w:p>
            <w:pPr>
              <w:ind w:firstLine="422"/>
              <w:jc w:val="both"/>
              <w:keepLines w:val="0"/>
              <w:keepNext w:val="0"/>
              <w:pageBreakBefore w:val="0"/>
              <w:spacing w:line="240" w:lineRule="auto"/>
              <w:widowControl w:val="off"/>
              <w:rPr>
                <w:rFonts w:hint="eastAsia" w:cs="宋体" w:asciiTheme="minorEastAsia" w:hAnsiTheme="minorEastAsia"/>
                <w:bCs/>
                <w:sz w:val="21"/>
                <w:szCs w:val="21"/>
              </w:rPr>
            </w:pPr>
            <w:r>
              <w:rPr>
                <w:rFonts w:hint="eastAsia" w:cs="宋体" w:asciiTheme="minorEastAsia" w:hAnsiTheme="minorEastAsia"/>
                <w:b/>
                <w:bCs w:val="0"/>
                <w:sz w:val="21"/>
                <w:szCs w:val="21"/>
              </w:rPr>
              <w:t xml:space="preserve">注 2：</w:t>
            </w:r>
            <w:r>
              <w:rPr>
                <w:rFonts w:hint="eastAsia" w:cs="宋体" w:asciiTheme="minorEastAsia" w:hAnsiTheme="minorEastAsia"/>
                <w:bCs/>
                <w:sz w:val="21"/>
                <w:szCs w:val="21"/>
              </w:rPr>
              <w:t xml:space="preserve">“★”核心参数若出现任何一项负偏离，本项目（或本包）作无效投标处理；“★”“▲” 项的采购标的须提供符合参数要求的证明材料（如检测报告、设备生产厂家证明材料、彩页、手册等相关材料），未提供相关证明材料或所提供材料不满足招标文件参数要求的视为负偏离。</w:t>
            </w:r>
            <w:r/>
          </w:p>
          <w:p>
            <w:pPr>
              <w:ind w:firstLine="422"/>
              <w:jc w:val="both"/>
              <w:keepLines w:val="0"/>
              <w:keepNext w:val="0"/>
              <w:pageBreakBefore w:val="0"/>
              <w:spacing w:line="240" w:lineRule="auto"/>
              <w:widowControl w:val="off"/>
              <w:rPr>
                <w:rFonts w:hint="eastAsia" w:cs="宋体" w:asciiTheme="minorEastAsia" w:hAnsiTheme="minorEastAsia"/>
                <w:bCs/>
                <w:sz w:val="21"/>
                <w:szCs w:val="21"/>
                <w:lang w:val="en-US" w:eastAsia="zh-CN"/>
              </w:rPr>
            </w:pPr>
            <w:r>
              <w:rPr>
                <w:rFonts w:hint="eastAsia" w:cs="宋体" w:asciiTheme="minorEastAsia" w:hAnsiTheme="minorEastAsia"/>
                <w:b/>
                <w:bCs w:val="0"/>
                <w:sz w:val="21"/>
                <w:szCs w:val="21"/>
              </w:rPr>
              <w:t xml:space="preserve">注 3：</w:t>
            </w:r>
            <w:r>
              <w:rPr>
                <w:rFonts w:hint="eastAsia" w:cs="宋体" w:asciiTheme="minorEastAsia" w:hAnsiTheme="minorEastAsia"/>
                <w:bCs/>
                <w:sz w:val="21"/>
                <w:szCs w:val="21"/>
              </w:rPr>
              <w:t xml:space="preserve">各条参数响应情况须在 “技术要求响应及偏离表” 中如实注明偏离情况，未注明的视为默认符合招标文件要求。</w:t>
            </w:r>
            <w:r/>
          </w:p>
        </w:tc>
      </w:tr>
      <w:tr>
        <w:trPr>
          <w:jc w:val="center"/>
          <w:trHeight w:val="1126"/>
        </w:trPr>
        <w:tc>
          <w:tcPr>
            <w:tcW w:w="755" w:type="dxa"/>
            <w:vAlign w:val="center"/>
            <w:textDirection w:val="lrTb"/>
            <w:noWrap w:val="false"/>
          </w:tcPr>
          <w:p>
            <w:pPr>
              <w:ind w:firstLine="0"/>
              <w:jc w:val="center"/>
              <w:keepLines w:val="0"/>
              <w:keepNext w:val="0"/>
              <w:pageBreakBefore w:val="0"/>
              <w:spacing w:line="288"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W w:w="1392" w:type="dxa"/>
            <w:vAlign w:val="center"/>
            <w:textDirection w:val="lrTb"/>
            <w:noWrap w:val="false"/>
          </w:tcPr>
          <w:p>
            <w:pPr>
              <w:jc w:val="center"/>
              <w:keepLines w:val="0"/>
              <w:keepNext w:val="0"/>
              <w:pageBreakBefore w:val="0"/>
              <w:spacing w:line="288"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实施方案</w:t>
            </w:r>
            <w:r/>
          </w:p>
        </w:tc>
        <w:tc>
          <w:tcPr>
            <w:tcW w:w="1203" w:type="dxa"/>
            <w:vAlign w:val="center"/>
            <w:textDirection w:val="lrTb"/>
            <w:noWrap w:val="false"/>
          </w:tcPr>
          <w:p>
            <w:pPr>
              <w:jc w:val="center"/>
              <w:keepLines w:val="0"/>
              <w:keepNext w:val="0"/>
              <w:pageBreakBefore w:val="0"/>
              <w:spacing w:line="288" w:lineRule="auto"/>
              <w:rPr>
                <w:rFonts w:hint="default"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30分</w:t>
            </w:r>
            <w:r/>
          </w:p>
        </w:tc>
        <w:tc>
          <w:tcPr>
            <w:tcW w:w="5987" w:type="dxa"/>
            <w:vAlign w:val="top"/>
            <w:textDirection w:val="lrTb"/>
            <w:noWrap w:val="false"/>
          </w:tcPr>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评审委员会根据</w:t>
            </w:r>
            <w:r>
              <w:rPr>
                <w:rFonts w:hint="eastAsia" w:ascii="宋体" w:hAnsi="宋体" w:eastAsia="宋体" w:cs="宋体"/>
                <w:sz w:val="21"/>
                <w:szCs w:val="21"/>
                <w:highlight w:val="none"/>
                <w:lang w:val="zh-CN" w:eastAsia="zh-CN" w:bidi="ar-SA"/>
                <w14:ligatures w14:val="none"/>
              </w:rPr>
              <w:t xml:space="preserve">投标人提供的</w:t>
            </w:r>
            <w:r>
              <w:rPr>
                <w:rFonts w:hint="eastAsia" w:ascii="宋体" w:hAnsi="宋体" w:eastAsia="宋体" w:cs="宋体"/>
                <w:sz w:val="21"/>
                <w:szCs w:val="21"/>
                <w:highlight w:val="none"/>
                <w:lang w:val="en-US" w:eastAsia="zh-CN" w:bidi="ar-SA"/>
                <w14:ligatures w14:val="none"/>
              </w:rPr>
              <w:t xml:space="preserve">售后服务方案</w:t>
            </w:r>
            <w:r>
              <w:rPr>
                <w:rFonts w:hint="eastAsia" w:ascii="宋体" w:hAnsi="宋体" w:eastAsia="宋体" w:cs="宋体"/>
                <w:sz w:val="21"/>
                <w:szCs w:val="21"/>
                <w:highlight w:val="none"/>
                <w:lang w:val="zh-CN" w:eastAsia="zh-CN" w:bidi="ar-SA"/>
                <w14:ligatures w14:val="none"/>
              </w:rPr>
              <w:t xml:space="preserve">包含但不限于①售后服务体系；②</w:t>
            </w:r>
            <w:r>
              <w:rPr>
                <w:rFonts w:hint="eastAsia" w:ascii="宋体" w:hAnsi="宋体" w:eastAsia="宋体" w:cs="宋体"/>
                <w:sz w:val="21"/>
                <w:szCs w:val="21"/>
                <w:highlight w:val="none"/>
                <w:lang w:val="en-US" w:eastAsia="zh-CN" w:bidi="ar-SA"/>
                <w14:ligatures w14:val="none"/>
              </w:rPr>
              <w:t xml:space="preserve">售后服务人员配置</w:t>
            </w:r>
            <w:r>
              <w:rPr>
                <w:rFonts w:hint="eastAsia" w:ascii="宋体" w:hAnsi="宋体" w:eastAsia="宋体" w:cs="宋体"/>
                <w:sz w:val="21"/>
                <w:szCs w:val="21"/>
                <w:highlight w:val="none"/>
                <w:lang w:val="zh-CN" w:eastAsia="zh-CN" w:bidi="ar-SA"/>
                <w14:ligatures w14:val="none"/>
              </w:rPr>
              <w:t xml:space="preserve">；③维修服务响应时间及措施</w:t>
            </w:r>
            <w:r>
              <w:rPr>
                <w:rFonts w:hint="eastAsia" w:ascii="宋体" w:hAnsi="宋体" w:eastAsia="宋体" w:cs="宋体"/>
                <w:sz w:val="21"/>
                <w:szCs w:val="21"/>
                <w:highlight w:val="none"/>
                <w:lang w:val="en-US" w:eastAsia="zh-CN" w:bidi="ar-SA"/>
                <w14:ligatures w14:val="none"/>
              </w:rPr>
              <w:t xml:space="preserve">；④紧急故障处理预案；⑤培训计划及内容；⑥质保期内外的维护维修方案。</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zh-CN" w:eastAsia="zh-CN" w:bidi="ar-SA"/>
                <w14:ligatures w14:val="none"/>
              </w:rPr>
              <w:t xml:space="preserve">满足以上</w:t>
            </w:r>
            <w:r>
              <w:rPr>
                <w:rFonts w:hint="eastAsia" w:ascii="宋体" w:hAnsi="宋体" w:eastAsia="宋体" w:cs="宋体"/>
                <w:sz w:val="21"/>
                <w:szCs w:val="21"/>
                <w:highlight w:val="none"/>
                <w:lang w:val="en-US" w:eastAsia="zh-CN" w:bidi="ar-SA"/>
                <w14:ligatures w14:val="none"/>
              </w:rPr>
              <w:t xml:space="preserve">6</w:t>
            </w:r>
            <w:r>
              <w:rPr>
                <w:rFonts w:hint="eastAsia" w:ascii="宋体" w:hAnsi="宋体" w:eastAsia="宋体" w:cs="宋体"/>
                <w:sz w:val="21"/>
                <w:szCs w:val="21"/>
                <w:highlight w:val="none"/>
                <w:lang w:val="zh-CN" w:eastAsia="zh-CN" w:bidi="ar-SA"/>
                <w14:ligatures w14:val="none"/>
              </w:rPr>
              <w:t xml:space="preserve">项要求最多得</w:t>
            </w:r>
            <w:r>
              <w:rPr>
                <w:rFonts w:hint="eastAsia" w:ascii="宋体" w:hAnsi="宋体" w:eastAsia="宋体" w:cs="宋体"/>
                <w:sz w:val="21"/>
                <w:szCs w:val="21"/>
                <w:highlight w:val="none"/>
                <w:lang w:val="en-US" w:eastAsia="zh-CN" w:bidi="ar-SA"/>
                <w14:ligatures w14:val="none"/>
              </w:rPr>
              <w:t xml:space="preserve">30</w:t>
            </w:r>
            <w:r>
              <w:rPr>
                <w:rFonts w:hint="eastAsia" w:ascii="宋体" w:hAnsi="宋体" w:eastAsia="宋体" w:cs="宋体"/>
                <w:sz w:val="21"/>
                <w:szCs w:val="21"/>
                <w:highlight w:val="none"/>
                <w:lang w:val="zh-CN" w:eastAsia="zh-CN" w:bidi="ar-SA"/>
                <w14:ligatures w14:val="none"/>
              </w:rPr>
              <w:t xml:space="preserve">分；满足任意</w:t>
            </w:r>
            <w:r>
              <w:rPr>
                <w:rFonts w:hint="eastAsia" w:ascii="宋体" w:hAnsi="宋体" w:eastAsia="宋体" w:cs="宋体"/>
                <w:sz w:val="21"/>
                <w:szCs w:val="21"/>
                <w:highlight w:val="none"/>
                <w:lang w:val="en-US" w:eastAsia="zh-CN" w:bidi="ar-SA"/>
                <w14:ligatures w14:val="none"/>
              </w:rPr>
              <w:t xml:space="preserve">1</w:t>
            </w:r>
            <w:r>
              <w:rPr>
                <w:rFonts w:hint="eastAsia" w:ascii="宋体" w:hAnsi="宋体" w:eastAsia="宋体" w:cs="宋体"/>
                <w:sz w:val="21"/>
                <w:szCs w:val="21"/>
                <w:highlight w:val="none"/>
                <w:lang w:val="zh-CN" w:eastAsia="zh-CN" w:bidi="ar-SA"/>
                <w14:ligatures w14:val="none"/>
              </w:rPr>
              <w:t xml:space="preserve">项</w:t>
            </w:r>
            <w:r>
              <w:rPr>
                <w:rFonts w:hint="eastAsia" w:ascii="宋体" w:hAnsi="宋体" w:eastAsia="宋体" w:cs="宋体"/>
                <w:sz w:val="21"/>
                <w:szCs w:val="21"/>
                <w:highlight w:val="none"/>
                <w:lang w:val="en-US" w:eastAsia="zh-CN" w:bidi="ar-SA"/>
                <w14:ligatures w14:val="none"/>
              </w:rPr>
              <w:t xml:space="preserve">要求最多</w:t>
            </w:r>
            <w:r>
              <w:rPr>
                <w:rFonts w:hint="eastAsia" w:ascii="宋体" w:hAnsi="宋体" w:eastAsia="宋体" w:cs="宋体"/>
                <w:sz w:val="21"/>
                <w:szCs w:val="21"/>
                <w:highlight w:val="none"/>
                <w:lang w:val="zh-CN" w:eastAsia="zh-CN" w:bidi="ar-SA"/>
                <w14:ligatures w14:val="none"/>
              </w:rPr>
              <w:t xml:space="preserve">得</w:t>
            </w:r>
            <w:r>
              <w:rPr>
                <w:rFonts w:hint="eastAsia" w:ascii="宋体" w:hAnsi="宋体" w:eastAsia="宋体" w:cs="宋体"/>
                <w:sz w:val="21"/>
                <w:szCs w:val="21"/>
                <w:highlight w:val="none"/>
                <w:lang w:val="en-US" w:eastAsia="zh-CN" w:bidi="ar-SA"/>
                <w14:ligatures w14:val="none"/>
              </w:rPr>
              <w:t xml:space="preserve">5</w:t>
            </w:r>
            <w:r>
              <w:rPr>
                <w:rFonts w:hint="eastAsia" w:ascii="宋体" w:hAnsi="宋体" w:eastAsia="宋体" w:cs="宋体"/>
                <w:sz w:val="21"/>
                <w:szCs w:val="21"/>
                <w:highlight w:val="none"/>
                <w:lang w:val="zh-CN" w:eastAsia="zh-CN" w:bidi="ar-SA"/>
                <w14:ligatures w14:val="none"/>
              </w:rPr>
              <w:t xml:space="preserve">分；其余情况不得分。</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zh-CN" w:eastAsia="zh-CN" w:bidi="ar-SA"/>
                <w14:ligatures w14:val="none"/>
              </w:rPr>
              <w:t xml:space="preserve">注：评审委员会根据各</w:t>
            </w:r>
            <w:r>
              <w:rPr>
                <w:rFonts w:hint="eastAsia" w:ascii="宋体" w:hAnsi="宋体" w:eastAsia="宋体" w:cs="宋体"/>
                <w:sz w:val="21"/>
                <w:szCs w:val="21"/>
                <w:highlight w:val="none"/>
                <w:lang w:val="en-US" w:eastAsia="zh-CN" w:bidi="ar-SA"/>
                <w14:ligatures w14:val="none"/>
              </w:rPr>
              <w:t xml:space="preserve">投标人</w:t>
            </w:r>
            <w:r>
              <w:rPr>
                <w:rFonts w:hint="eastAsia" w:ascii="宋体" w:hAnsi="宋体" w:eastAsia="宋体" w:cs="宋体"/>
                <w:sz w:val="21"/>
                <w:szCs w:val="21"/>
                <w:highlight w:val="none"/>
                <w:lang w:val="zh-CN" w:eastAsia="zh-CN" w:bidi="ar-SA"/>
                <w14:ligatures w14:val="none"/>
              </w:rPr>
              <w:t xml:space="preserve">的具体响应内容按照以下量化的评审因素指标对各项要求进行</w:t>
            </w:r>
            <w:r>
              <w:rPr>
                <w:rFonts w:hint="eastAsia" w:ascii="宋体" w:hAnsi="宋体" w:eastAsia="宋体" w:cs="宋体"/>
                <w:sz w:val="21"/>
                <w:szCs w:val="21"/>
                <w:highlight w:val="none"/>
                <w:lang w:val="en-US" w:eastAsia="zh-CN" w:bidi="ar-SA"/>
                <w14:ligatures w14:val="none"/>
              </w:rPr>
              <w:t xml:space="preserve">评审</w:t>
            </w:r>
            <w:r>
              <w:rPr>
                <w:rFonts w:hint="eastAsia" w:ascii="宋体" w:hAnsi="宋体" w:eastAsia="宋体" w:cs="宋体"/>
                <w:sz w:val="21"/>
                <w:szCs w:val="21"/>
                <w:highlight w:val="none"/>
                <w:lang w:val="zh-CN" w:eastAsia="zh-CN" w:bidi="ar-SA"/>
                <w14:ligatures w14:val="none"/>
              </w:rPr>
              <w:t xml:space="preserve">：</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zh-CN" w:eastAsia="zh-CN" w:bidi="ar-SA"/>
                <w14:ligatures w14:val="none"/>
              </w:rPr>
              <w:t xml:space="preserve">①方案完整详尽，可行性强，考虑周全，</w:t>
            </w:r>
            <w:r>
              <w:rPr>
                <w:rFonts w:hint="eastAsia" w:ascii="宋体" w:hAnsi="宋体" w:eastAsia="宋体" w:cs="宋体"/>
                <w:sz w:val="21"/>
                <w:szCs w:val="21"/>
                <w:highlight w:val="none"/>
                <w:lang w:val="en-US" w:eastAsia="zh-CN" w:bidi="ar-SA"/>
                <w14:ligatures w14:val="none"/>
              </w:rPr>
              <w:t xml:space="preserve">方案</w:t>
            </w:r>
            <w:r>
              <w:rPr>
                <w:rFonts w:hint="eastAsia" w:ascii="宋体" w:hAnsi="宋体" w:eastAsia="宋体" w:cs="宋体"/>
                <w:sz w:val="21"/>
                <w:szCs w:val="21"/>
                <w:highlight w:val="none"/>
                <w:lang w:val="zh-CN" w:eastAsia="zh-CN" w:bidi="ar-SA"/>
                <w14:ligatures w14:val="none"/>
              </w:rPr>
              <w:t xml:space="preserve">思路特别清晰，符合项目需求该项得</w:t>
            </w:r>
            <w:r>
              <w:rPr>
                <w:rFonts w:hint="eastAsia" w:ascii="宋体" w:hAnsi="宋体" w:eastAsia="宋体" w:cs="宋体"/>
                <w:sz w:val="21"/>
                <w:szCs w:val="21"/>
                <w:highlight w:val="none"/>
                <w:lang w:val="en-US" w:eastAsia="zh-CN" w:bidi="ar-SA"/>
                <w14:ligatures w14:val="none"/>
              </w:rPr>
              <w:t xml:space="preserve">5</w:t>
            </w:r>
            <w:r>
              <w:rPr>
                <w:rFonts w:hint="eastAsia" w:ascii="宋体" w:hAnsi="宋体" w:eastAsia="宋体" w:cs="宋体"/>
                <w:sz w:val="21"/>
                <w:szCs w:val="21"/>
                <w:highlight w:val="none"/>
                <w:lang w:val="zh-CN" w:eastAsia="zh-CN" w:bidi="ar-SA"/>
                <w14:ligatures w14:val="none"/>
              </w:rPr>
              <w:t xml:space="preserve">分；</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②</w:t>
            </w:r>
            <w:r>
              <w:rPr>
                <w:rFonts w:hint="eastAsia" w:ascii="宋体" w:hAnsi="宋体" w:eastAsia="宋体" w:cs="宋体"/>
                <w:sz w:val="21"/>
                <w:szCs w:val="21"/>
                <w:highlight w:val="none"/>
                <w:lang w:val="zh-CN" w:eastAsia="zh-CN" w:bidi="ar-SA"/>
                <w14:ligatures w14:val="none"/>
              </w:rPr>
              <w:t xml:space="preserve">对项目有一定的认识，方案较为完整，</w:t>
            </w:r>
            <w:r>
              <w:rPr>
                <w:rFonts w:hint="eastAsia" w:ascii="宋体" w:hAnsi="宋体" w:eastAsia="宋体" w:cs="宋体"/>
                <w:sz w:val="21"/>
                <w:szCs w:val="21"/>
                <w:highlight w:val="none"/>
                <w:lang w:val="en-US" w:eastAsia="zh-CN" w:bidi="ar-SA"/>
                <w14:ligatures w14:val="none"/>
              </w:rPr>
              <w:t xml:space="preserve">方案</w:t>
            </w:r>
            <w:r>
              <w:rPr>
                <w:rFonts w:hint="eastAsia" w:ascii="宋体" w:hAnsi="宋体" w:eastAsia="宋体" w:cs="宋体"/>
                <w:sz w:val="21"/>
                <w:szCs w:val="21"/>
                <w:highlight w:val="none"/>
                <w:lang w:val="zh-CN" w:eastAsia="zh-CN" w:bidi="ar-SA"/>
                <w14:ligatures w14:val="none"/>
              </w:rPr>
              <w:t xml:space="preserve">思路基本清晰，基本符合项目需求该项得</w:t>
            </w:r>
            <w:r>
              <w:rPr>
                <w:rFonts w:hint="eastAsia" w:ascii="宋体" w:hAnsi="宋体" w:eastAsia="宋体" w:cs="宋体"/>
                <w:sz w:val="21"/>
                <w:szCs w:val="21"/>
                <w:highlight w:val="none"/>
                <w:lang w:val="en-US" w:eastAsia="zh-CN" w:bidi="ar-SA"/>
                <w14:ligatures w14:val="none"/>
              </w:rPr>
              <w:t xml:space="preserve">3</w:t>
            </w:r>
            <w:r>
              <w:rPr>
                <w:rFonts w:hint="eastAsia" w:ascii="宋体" w:hAnsi="宋体" w:eastAsia="宋体" w:cs="宋体"/>
                <w:sz w:val="21"/>
                <w:szCs w:val="21"/>
                <w:highlight w:val="none"/>
                <w:lang w:val="zh-CN" w:eastAsia="zh-CN" w:bidi="ar-SA"/>
                <w14:ligatures w14:val="none"/>
              </w:rPr>
              <w:t xml:space="preserve">分；</w:t>
            </w:r>
            <w:r/>
          </w:p>
          <w:p>
            <w:pPr>
              <w:ind w:firstLine="420"/>
              <w:jc w:val="left"/>
              <w:keepLines w:val="0"/>
              <w:keepNext w:val="0"/>
              <w:pageBreakBefore w:val="0"/>
              <w:spacing w:after="0" w:line="288" w:lineRule="auto"/>
              <w:widowControl w:val="off"/>
              <w:rPr>
                <w:rFonts w:hint="eastAsia" w:ascii="宋体" w:hAnsi="宋体" w:eastAsia="宋体" w:cs="宋体"/>
                <w:sz w:val="21"/>
                <w:szCs w:val="21"/>
                <w:highlight w:val="none"/>
                <w:lang w:val="en-US" w:eastAsia="zh-CN" w:bidi="ar-SA"/>
                <w14:ligatures w14:val="none"/>
              </w:rPr>
            </w:pPr>
            <w:r>
              <w:rPr>
                <w:rFonts w:hint="eastAsia" w:ascii="宋体" w:hAnsi="宋体" w:eastAsia="宋体" w:cs="宋体"/>
                <w:sz w:val="21"/>
                <w:szCs w:val="21"/>
                <w:highlight w:val="none"/>
                <w:lang w:val="en-US" w:eastAsia="zh-CN" w:bidi="ar-SA"/>
                <w14:ligatures w14:val="none"/>
              </w:rPr>
              <w:t xml:space="preserve">③</w:t>
            </w:r>
            <w:r>
              <w:rPr>
                <w:rFonts w:hint="eastAsia" w:ascii="宋体" w:hAnsi="宋体" w:eastAsia="宋体" w:cs="宋体"/>
                <w:sz w:val="21"/>
                <w:szCs w:val="21"/>
                <w:highlight w:val="none"/>
                <w:lang w:val="zh-CN" w:eastAsia="zh-CN" w:bidi="ar-SA"/>
                <w14:ligatures w14:val="none"/>
              </w:rPr>
              <w:t xml:space="preserve">方案</w:t>
            </w:r>
            <w:r>
              <w:rPr>
                <w:rFonts w:hint="eastAsia" w:ascii="宋体" w:hAnsi="宋体" w:eastAsia="宋体" w:cs="宋体"/>
                <w:sz w:val="21"/>
                <w:szCs w:val="21"/>
                <w:highlight w:val="none"/>
                <w:lang w:val="en-US" w:eastAsia="zh-CN" w:bidi="ar-SA"/>
                <w14:ligatures w14:val="none"/>
              </w:rPr>
              <w:t xml:space="preserve">内容</w:t>
            </w:r>
            <w:r>
              <w:rPr>
                <w:rFonts w:hint="eastAsia" w:ascii="宋体" w:hAnsi="宋体" w:eastAsia="宋体" w:cs="宋体"/>
                <w:sz w:val="21"/>
                <w:szCs w:val="21"/>
                <w:highlight w:val="none"/>
                <w:lang w:val="zh-CN" w:eastAsia="zh-CN" w:bidi="ar-SA"/>
                <w14:ligatures w14:val="none"/>
              </w:rPr>
              <w:t xml:space="preserve">欠</w:t>
            </w:r>
            <w:r>
              <w:rPr>
                <w:rFonts w:hint="eastAsia" w:ascii="宋体" w:hAnsi="宋体" w:eastAsia="宋体" w:cs="宋体"/>
                <w:sz w:val="21"/>
                <w:szCs w:val="21"/>
                <w:highlight w:val="none"/>
                <w:lang w:val="en-US" w:eastAsia="zh-CN" w:bidi="ar-SA"/>
                <w14:ligatures w14:val="none"/>
              </w:rPr>
              <w:t xml:space="preserve">缺</w:t>
            </w:r>
            <w:r>
              <w:rPr>
                <w:rFonts w:hint="eastAsia" w:ascii="宋体" w:hAnsi="宋体" w:eastAsia="宋体" w:cs="宋体"/>
                <w:sz w:val="21"/>
                <w:szCs w:val="21"/>
                <w:highlight w:val="none"/>
                <w:lang w:val="zh-CN" w:eastAsia="zh-CN" w:bidi="ar-SA"/>
                <w14:ligatures w14:val="none"/>
              </w:rPr>
              <w:t xml:space="preserve">，与项目需求响应度低，项目理解思路</w:t>
            </w:r>
            <w:r>
              <w:rPr>
                <w:rFonts w:hint="eastAsia" w:ascii="宋体" w:hAnsi="宋体" w:eastAsia="宋体" w:cs="宋体"/>
                <w:sz w:val="21"/>
                <w:szCs w:val="21"/>
                <w:highlight w:val="none"/>
                <w:lang w:val="en-US" w:eastAsia="zh-CN" w:bidi="ar-SA"/>
                <w14:ligatures w14:val="none"/>
              </w:rPr>
              <w:t xml:space="preserve">不够清晰</w:t>
            </w:r>
            <w:r>
              <w:rPr>
                <w:rFonts w:hint="eastAsia" w:ascii="宋体" w:hAnsi="宋体" w:eastAsia="宋体" w:cs="宋体"/>
                <w:sz w:val="21"/>
                <w:szCs w:val="21"/>
                <w:highlight w:val="none"/>
                <w:lang w:val="zh-CN" w:eastAsia="zh-CN" w:bidi="ar-SA"/>
                <w14:ligatures w14:val="none"/>
              </w:rPr>
              <w:t xml:space="preserve">该项得</w:t>
            </w:r>
            <w:r>
              <w:rPr>
                <w:rFonts w:hint="eastAsia" w:ascii="宋体" w:hAnsi="宋体" w:eastAsia="宋体" w:cs="宋体"/>
                <w:sz w:val="21"/>
                <w:szCs w:val="21"/>
                <w:highlight w:val="none"/>
                <w:lang w:val="en-US" w:eastAsia="zh-CN" w:bidi="ar-SA"/>
                <w14:ligatures w14:val="none"/>
              </w:rPr>
              <w:t xml:space="preserve">2</w:t>
            </w:r>
            <w:r>
              <w:rPr>
                <w:rFonts w:hint="eastAsia" w:ascii="宋体" w:hAnsi="宋体" w:eastAsia="宋体" w:cs="宋体"/>
                <w:sz w:val="21"/>
                <w:szCs w:val="21"/>
                <w:highlight w:val="none"/>
                <w:lang w:val="zh-CN" w:eastAsia="zh-CN" w:bidi="ar-SA"/>
                <w14:ligatures w14:val="none"/>
              </w:rPr>
              <w:t xml:space="preserve">分。</w:t>
            </w:r>
            <w:r/>
          </w:p>
          <w:p>
            <w:pPr>
              <w:ind w:firstLine="420"/>
              <w:jc w:val="left"/>
              <w:keepLines w:val="0"/>
              <w:keepNext w:val="0"/>
              <w:pageBreakBefore w:val="0"/>
              <w:spacing w:after="0" w:line="288"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bidi="ar-SA"/>
                <w14:ligatures w14:val="none"/>
              </w:rPr>
              <w:t xml:space="preserve">④未提供方案或提供的方案不符合项目要求的得0分。</w:t>
            </w:r>
            <w:r/>
          </w:p>
        </w:tc>
      </w:tr>
    </w:tbl>
    <w:p>
      <w:pPr>
        <w:pStyle w:val="690"/>
        <w:ind w:left="0" w:firstLine="440"/>
        <w:jc w:val="both"/>
        <w:keepLines w:val="0"/>
        <w:keepNext w:val="0"/>
        <w:pageBreakBefore w:val="0"/>
        <w:spacing w:beforeAutospacing="0" w:afterAutospacing="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pStyle w:val="690"/>
        <w:ind w:left="0" w:firstLine="440"/>
        <w:jc w:val="both"/>
        <w:keepLines w:val="0"/>
        <w:keepNext w:val="0"/>
        <w:pageBreakBefore w:val="0"/>
        <w:spacing w:beforeAutospacing="0" w:afterAutospacing="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（1）所有打分项均以投标人所提供的投标文件进行打分，投标文件中未提及的不予认可，投标文件提交截止时间后不得修改或是补充投标文件。</w:t>
      </w:r>
      <w:r/>
    </w:p>
    <w:p>
      <w:pPr>
        <w:pStyle w:val="690"/>
        <w:ind w:left="0" w:firstLine="440"/>
        <w:jc w:val="both"/>
        <w:keepLines w:val="0"/>
        <w:keepNext w:val="0"/>
        <w:pageBreakBefore w:val="0"/>
        <w:spacing w:beforeAutospacing="0" w:afterAutospacing="0" w:line="360" w:lineRule="auto"/>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（2）投标人的最终得分为所有评委打分的平均值，计算结果保留至小数点后两位。</w:t>
      </w:r>
      <w:r/>
    </w:p>
    <w:p>
      <w:pPr>
        <w:pStyle w:val="690"/>
        <w:ind w:left="0" w:firstLine="480"/>
        <w:jc w:val="both"/>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90"/>
        <w:jc w:val="center"/>
        <w:keepNext/>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p>
    <w:p>
      <w:pPr>
        <w:pStyle w:val="69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90"/>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 </w:t>
      </w:r>
      <w:r/>
    </w:p>
    <w:p>
      <w:pPr>
        <w:pStyle w:val="690"/>
        <w:jc w:val="center"/>
        <w:spacing w:beforeAutospacing="0" w:afterAutospacing="0"/>
        <w:rPr>
          <w:rFonts w:hint="eastAsia" w:ascii="宋体" w:hAnsi="宋体" w:eastAsia="宋体" w:cs="宋体"/>
          <w:b/>
          <w:color w:val="000000"/>
          <w:sz w:val="72"/>
          <w:szCs w:val="72"/>
          <w:highlight w:val="none"/>
        </w:rPr>
      </w:pPr>
      <w:r/>
      <w:bookmarkStart w:id="204" w:name="_Toc120614282"/>
      <w:r/>
      <w:bookmarkEnd w:id="204"/>
      <w:r/>
      <w:bookmarkStart w:id="205" w:name="_Toc49090576"/>
      <w:r/>
      <w:bookmarkEnd w:id="205"/>
      <w:r/>
      <w:bookmarkStart w:id="206" w:name="_Toc26554094"/>
      <w:r/>
      <w:bookmarkStart w:id="207" w:name="_Hlt26671244"/>
      <w:r/>
      <w:bookmarkStart w:id="208" w:name="_Hlt26955039"/>
      <w:r/>
      <w:r/>
    </w:p>
    <w:p>
      <w:pPr>
        <w:pStyle w:val="690"/>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90"/>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名 称：</w:t>
      </w:r>
      <w:r>
        <w:rPr>
          <w:rFonts w:hint="eastAsia" w:ascii="宋体" w:hAnsi="宋体" w:eastAsia="宋体" w:cs="宋体"/>
          <w:b/>
          <w:color w:val="000000"/>
          <w:sz w:val="36"/>
          <w:szCs w:val="36"/>
          <w:highlight w:val="none"/>
          <w:u w:val="single"/>
        </w:rPr>
        <w:t xml:space="preserve">             </w:t>
      </w:r>
      <w:r/>
    </w:p>
    <w:p>
      <w:pPr>
        <w:pStyle w:val="690"/>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 目 编 号：</w:t>
      </w:r>
      <w:r>
        <w:rPr>
          <w:rFonts w:hint="eastAsia" w:ascii="宋体" w:hAnsi="宋体" w:eastAsia="宋体" w:cs="宋体"/>
          <w:b/>
          <w:color w:val="000000"/>
          <w:sz w:val="36"/>
          <w:szCs w:val="36"/>
          <w:highlight w:val="none"/>
          <w:u w:val="single"/>
        </w:rPr>
        <w:t xml:space="preserve">             </w:t>
      </w:r>
      <w:r/>
    </w:p>
    <w:p>
      <w:pPr>
        <w:pStyle w:val="690"/>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w:t>
      </w:r>
      <w:r/>
    </w:p>
    <w:p>
      <w:pPr>
        <w:pStyle w:val="690"/>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90"/>
        <w:jc w:val="center"/>
        <w:spacing w:beforeAutospacing="0" w:afterAutospacing="0" w:line="0" w:lineRule="atLeast"/>
        <w:rPr>
          <w:highlight w:val="none"/>
        </w:rPr>
      </w:pPr>
      <w:r>
        <w:rPr>
          <w:highlight w:val="none"/>
        </w:rPr>
        <w:t xml:space="preserve"> </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一、法人或者其他组织的营业执照等证明文件，自然人的身份证明</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二、上一年度的财务状况报告（至少提供资产负债表、利润表、现金流量表，投标人成立不满一年无需提供）</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三、具备履行合同所必需的设备和专业技术能力的书面声明</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五、参加政府采购活动前 3 年内在经营活动中没有重大违法记录的书面声明</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六、特定资格要求的证明文件（如果本项目设置特定资格要求，则需要提供）</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七、法定代表人身份证明书及法人授权书</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八、投标函</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九、《小微企业声明函》</w:t>
      </w:r>
      <w:r/>
    </w:p>
    <w:p>
      <w:pPr>
        <w:ind w:firstLine="560"/>
        <w:jc w:val="left"/>
        <w:spacing w:line="360" w:lineRule="auto"/>
        <w:rPr>
          <w:rFonts w:hint="eastAsia" w:ascii="Calibri" w:hAnsi="Calibri" w:eastAsia="宋体" w:cs="Times New Roman"/>
          <w:sz w:val="24"/>
          <w:szCs w:val="22"/>
          <w:lang w:eastAsia="zh-CN"/>
        </w:rPr>
      </w:pPr>
      <w:r>
        <w:rPr>
          <w:rFonts w:hint="eastAsia" w:ascii="Calibri" w:hAnsi="Calibri" w:eastAsia="Arial" w:cs="Times New Roman"/>
          <w:sz w:val="24"/>
          <w:szCs w:val="22"/>
        </w:rPr>
        <w:t xml:space="preserve">十、残疾人福利性单位声明函</w:t>
      </w:r>
      <w:r>
        <w:rPr>
          <w:rFonts w:hint="eastAsia" w:ascii="Calibri" w:hAnsi="Calibri" w:eastAsia="宋体" w:cs="Times New Roman"/>
          <w:sz w:val="24"/>
          <w:szCs w:val="22"/>
          <w:lang w:eastAsia="zh-CN"/>
        </w:rPr>
        <w:t xml:space="preserve">（</w:t>
      </w:r>
      <w:r>
        <w:rPr>
          <w:rFonts w:hint="eastAsia" w:ascii="Calibri" w:hAnsi="Calibri" w:eastAsia="宋体" w:cs="Times New Roman"/>
          <w:sz w:val="24"/>
          <w:szCs w:val="22"/>
          <w:lang w:val="en-US" w:eastAsia="zh-CN"/>
        </w:rPr>
        <w:t xml:space="preserve">如有</w:t>
      </w:r>
      <w:r>
        <w:rPr>
          <w:rFonts w:hint="eastAsia" w:ascii="Calibri" w:hAnsi="Calibri" w:eastAsia="宋体" w:cs="Times New Roman"/>
          <w:sz w:val="24"/>
          <w:szCs w:val="22"/>
          <w:lang w:eastAsia="zh-CN"/>
        </w:rPr>
        <w:t xml:space="preserve">）</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十一、投标分项报价表</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宋体" w:cs="Times New Roman"/>
          <w:sz w:val="24"/>
          <w:szCs w:val="22"/>
          <w:lang w:val="en-US" w:eastAsia="zh-CN"/>
        </w:rPr>
        <w:t xml:space="preserve">二</w:t>
      </w:r>
      <w:r>
        <w:rPr>
          <w:rFonts w:hint="eastAsia" w:ascii="Calibri" w:hAnsi="Calibri" w:eastAsia="Arial" w:cs="Times New Roman"/>
          <w:sz w:val="24"/>
          <w:szCs w:val="22"/>
        </w:rPr>
        <w:t xml:space="preserve">、技术要求响应及偏离表</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宋体" w:cs="Times New Roman"/>
          <w:sz w:val="24"/>
          <w:szCs w:val="22"/>
          <w:lang w:val="en-US" w:eastAsia="zh-CN"/>
        </w:rPr>
        <w:t xml:space="preserve">三</w:t>
      </w:r>
      <w:r>
        <w:rPr>
          <w:rFonts w:hint="eastAsia" w:ascii="Calibri" w:hAnsi="Calibri" w:eastAsia="Arial" w:cs="Times New Roman"/>
          <w:sz w:val="24"/>
          <w:szCs w:val="22"/>
        </w:rPr>
        <w:t xml:space="preserve">、商务要求响应及偏离表</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宋体" w:cs="Times New Roman"/>
          <w:sz w:val="24"/>
          <w:szCs w:val="22"/>
          <w:lang w:val="en-US" w:eastAsia="zh-CN"/>
        </w:rPr>
        <w:t xml:space="preserve">四</w:t>
      </w:r>
      <w:r>
        <w:rPr>
          <w:rFonts w:hint="eastAsia" w:ascii="Calibri" w:hAnsi="Calibri" w:eastAsia="Arial" w:cs="Times New Roman"/>
          <w:sz w:val="24"/>
          <w:szCs w:val="22"/>
        </w:rPr>
        <w:t xml:space="preserve">、开标一览表</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宋体" w:cs="Times New Roman"/>
          <w:sz w:val="24"/>
          <w:szCs w:val="22"/>
          <w:lang w:val="en-US" w:eastAsia="zh-CN"/>
        </w:rPr>
        <w:t xml:space="preserve">五</w:t>
      </w:r>
      <w:r>
        <w:rPr>
          <w:rFonts w:hint="eastAsia" w:ascii="Calibri" w:hAnsi="Calibri" w:eastAsia="Arial" w:cs="Times New Roman"/>
          <w:sz w:val="24"/>
          <w:szCs w:val="22"/>
        </w:rPr>
        <w:t xml:space="preserve">、技术方案、服务承诺、培训承诺等</w:t>
      </w:r>
      <w:r/>
    </w:p>
    <w:p>
      <w:pPr>
        <w:ind w:firstLine="560"/>
        <w:jc w:val="left"/>
        <w:spacing w:line="360" w:lineRule="auto"/>
        <w:rPr>
          <w:rFonts w:hint="default"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宋体" w:cs="Times New Roman"/>
          <w:sz w:val="24"/>
          <w:szCs w:val="22"/>
          <w:lang w:val="en-US" w:eastAsia="zh-CN"/>
        </w:rPr>
        <w:t xml:space="preserve">六</w:t>
      </w:r>
      <w:r>
        <w:rPr>
          <w:rFonts w:hint="eastAsia" w:ascii="Calibri" w:hAnsi="Calibri" w:eastAsia="Arial" w:cs="Times New Roman"/>
          <w:sz w:val="24"/>
          <w:szCs w:val="22"/>
        </w:rPr>
        <w:t xml:space="preserve">、盐城市政府采购事前信用承诺书</w:t>
      </w:r>
      <w:r/>
    </w:p>
    <w:p>
      <w:pPr>
        <w:ind w:firstLine="560"/>
        <w:jc w:val="left"/>
        <w:spacing w:line="360" w:lineRule="auto"/>
        <w:rPr>
          <w:rFonts w:hint="eastAsia" w:ascii="Calibri" w:hAnsi="Calibri" w:eastAsia="Arial" w:cs="Times New Roman"/>
          <w:sz w:val="24"/>
          <w:szCs w:val="22"/>
        </w:rPr>
      </w:pPr>
      <w:r>
        <w:rPr>
          <w:rFonts w:hint="eastAsia" w:ascii="Calibri" w:hAnsi="Calibri" w:eastAsia="Arial" w:cs="Times New Roman"/>
          <w:sz w:val="24"/>
          <w:szCs w:val="22"/>
        </w:rPr>
        <w:t xml:space="preserve">十</w:t>
      </w:r>
      <w:r>
        <w:rPr>
          <w:rFonts w:hint="eastAsia" w:ascii="Calibri" w:hAnsi="Calibri" w:eastAsia="Arial" w:cs="Times New Roman"/>
          <w:sz w:val="24"/>
          <w:szCs w:val="22"/>
          <w:lang w:val="en-US" w:eastAsia="zh-CN"/>
        </w:rPr>
        <w:t xml:space="preserve">七</w:t>
      </w:r>
      <w:r>
        <w:rPr>
          <w:rFonts w:hint="eastAsia" w:ascii="Calibri" w:hAnsi="Calibri" w:eastAsia="Arial" w:cs="Times New Roman"/>
          <w:sz w:val="24"/>
          <w:szCs w:val="22"/>
        </w:rPr>
        <w:t xml:space="preserve">、招标文件要求的与评审有关的其他资料</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highlight w:val="none"/>
        </w:rPr>
      </w:r>
      <w:r/>
    </w:p>
    <w:p>
      <w:pPr>
        <w:pStyle w:val="690"/>
        <w:ind w:firstLine="480"/>
        <w:jc w:val="both"/>
        <w:spacing w:beforeAutospacing="0" w:afterAutospacing="0" w:line="0" w:lineRule="atLeast"/>
        <w:rPr>
          <w:highlight w:val="none"/>
        </w:rPr>
      </w:pPr>
      <w:r>
        <w:rPr>
          <w:highlight w:val="none"/>
        </w:rPr>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90"/>
        <w:ind w:firstLine="480"/>
        <w:jc w:val="both"/>
        <w:spacing w:beforeAutospacing="0" w:afterAutospacing="0" w:line="0" w:lineRule="atLeast"/>
        <w:rPr>
          <w:highlight w:val="none"/>
        </w:rPr>
      </w:pPr>
      <w:r>
        <w:rPr>
          <w:highlight w:val="none"/>
        </w:rPr>
        <w:t xml:space="preserve"> </w:t>
      </w:r>
      <w:r/>
    </w:p>
    <w:p>
      <w:pPr>
        <w:pStyle w:val="690"/>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ind w:firstLine="480"/>
        <w:jc w:val="left"/>
        <w:tabs>
          <w:tab w:val="left" w:pos="1331" w:leader="none"/>
        </w:tabs>
        <w:rPr>
          <w:i w:val="0"/>
          <w:iCs/>
          <w:highlight w:val="none"/>
          <w:u w:val="none"/>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w:t>
      </w:r>
      <w:r>
        <w:rPr>
          <w:rFonts w:hint="eastAsia" w:ascii="宋体" w:hAnsi="宋体" w:eastAsia="宋体" w:cs="宋体"/>
          <w:i w:val="0"/>
          <w:iCs/>
          <w:color w:val="000000"/>
          <w:highlight w:val="none"/>
          <w:u w:val="none"/>
        </w:rPr>
        <w:t xml:space="preserve">投标人成立不满一年无需提供）</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9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90"/>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企业名称（加盖CA电子公章）：</w:t>
      </w:r>
      <w:r/>
    </w:p>
    <w:p>
      <w:pPr>
        <w:ind w:firstLine="560"/>
        <w:jc w:val="left"/>
        <w:spacing w:line="360" w:lineRule="auto"/>
        <w:rPr>
          <w:rFonts w:hint="eastAsia" w:ascii="宋体" w:hAnsi="宋体" w:eastAsia="宋体" w:cs="宋体"/>
          <w:color w:val="000000"/>
          <w:sz w:val="24"/>
          <w:szCs w:val="24"/>
          <w:highlight w:val="none"/>
        </w:rPr>
      </w:pPr>
      <w:r>
        <w:rPr>
          <w:rFonts w:hint="eastAsia" w:ascii="Calibri" w:hAnsi="Calibri" w:eastAsia="Arial" w:cs="Times New Roman"/>
          <w:sz w:val="24"/>
          <w:szCs w:val="24"/>
        </w:rPr>
        <w:t xml:space="preserve">          年    月    日</w:t>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90"/>
        <w:ind w:firstLine="480"/>
        <w:jc w:val="both"/>
        <w:spacing w:beforeAutospacing="0" w:afterAutospacing="0"/>
        <w:rPr>
          <w:highlight w:val="none"/>
        </w:rPr>
      </w:pPr>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90"/>
        <w:jc w:val="both"/>
        <w:spacing w:beforeAutospacing="0" w:afterAutospacing="0" w:line="0" w:lineRule="atLeast"/>
        <w:rPr>
          <w:rFonts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                </w:t>
      </w:r>
      <w:r/>
    </w:p>
    <w:p>
      <w:pPr>
        <w:pStyle w:val="690"/>
        <w:ind w:firstLine="3092"/>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90"/>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560"/>
        <w:jc w:val="left"/>
        <w:spacing w:line="360" w:lineRule="auto"/>
        <w:rPr>
          <w:rFonts w:hint="default" w:ascii="Calibri" w:hAnsi="Calibri" w:eastAsia="Arial" w:cs="Times New Roman"/>
          <w:sz w:val="24"/>
          <w:szCs w:val="24"/>
        </w:rPr>
      </w:pPr>
      <w:r>
        <w:rPr>
          <w:sz w:val="24"/>
          <w:szCs w:val="24"/>
          <w:highlight w:val="none"/>
        </w:rPr>
        <w:t xml:space="preserve"> </w:t>
      </w:r>
      <w:r>
        <w:rPr>
          <w:rFonts w:hint="eastAsia" w:ascii="Calibri" w:hAnsi="Calibri" w:eastAsia="Arial" w:cs="Times New Roman"/>
          <w:sz w:val="24"/>
          <w:szCs w:val="24"/>
        </w:rPr>
        <w:t xml:space="preserve">企业名称（加盖CA电子公章）：</w:t>
      </w:r>
      <w:r/>
    </w:p>
    <w:p>
      <w:pPr>
        <w:ind w:firstLine="560"/>
        <w:jc w:val="left"/>
        <w:spacing w:line="360" w:lineRule="auto"/>
        <w:rPr>
          <w:rFonts w:hint="default" w:ascii="Calibri" w:hAnsi="Calibri" w:eastAsia="Arial" w:cs="Times New Roman"/>
          <w:sz w:val="24"/>
          <w:szCs w:val="24"/>
        </w:rPr>
      </w:pPr>
      <w:r>
        <w:rPr>
          <w:rFonts w:hint="eastAsia" w:ascii="Calibri" w:hAnsi="Calibri" w:eastAsia="Arial" w:cs="Times New Roman"/>
          <w:sz w:val="24"/>
          <w:szCs w:val="24"/>
        </w:rPr>
        <w:t xml:space="preserve"> </w:t>
      </w:r>
      <w:r/>
    </w:p>
    <w:p>
      <w:pPr>
        <w:pStyle w:val="690"/>
        <w:jc w:val="both"/>
        <w:spacing w:beforeAutospacing="0" w:afterAutospacing="0"/>
        <w:rPr>
          <w:sz w:val="24"/>
          <w:szCs w:val="24"/>
          <w:highlight w:val="none"/>
        </w:rPr>
      </w:pPr>
      <w:r>
        <w:rPr>
          <w:rFonts w:hint="eastAsia" w:ascii="Calibri" w:hAnsi="Calibri" w:eastAsia="Arial" w:cs="Times New Roman"/>
          <w:sz w:val="24"/>
          <w:szCs w:val="24"/>
        </w:rPr>
        <w:t xml:space="preserve">         年    月    日</w:t>
      </w:r>
      <w:r/>
    </w:p>
    <w:p>
      <w:pPr>
        <w:pStyle w:val="690"/>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90"/>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90"/>
        <w:jc w:val="center"/>
        <w:spacing w:beforeAutospacing="0" w:afterAutospacing="0"/>
        <w:rPr>
          <w:rFonts w:ascii="黑体" w:hAnsi="宋体" w:eastAsia="黑体" w:cs="黑体"/>
          <w:i/>
          <w:color w:val="000000"/>
          <w:sz w:val="32"/>
          <w:szCs w:val="32"/>
          <w:highlight w:val="none"/>
          <w:u w:val="single"/>
        </w:rPr>
      </w:pPr>
      <w:r/>
      <w:bookmarkStart w:id="209" w:name="_Toc120614284"/>
      <w:r/>
      <w:r/>
    </w:p>
    <w:p>
      <w:pPr>
        <w:pStyle w:val="690"/>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七、法定代表人身份证明书及法人授权书</w:t>
      </w:r>
      <w:r/>
    </w:p>
    <w:p>
      <w:pPr>
        <w:ind w:firstLine="0"/>
        <w:jc w:val="center"/>
        <w:spacing w:line="360" w:lineRule="auto"/>
        <w:widowControl w:val="off"/>
        <w:rPr>
          <w:rFonts w:hint="default" w:ascii="Arial" w:hAnsi="Arial" w:eastAsia="宋体" w:cs="仿宋"/>
          <w:b/>
          <w:sz w:val="28"/>
          <w:szCs w:val="24"/>
        </w:rPr>
      </w:pPr>
      <w:r/>
      <w:bookmarkStart w:id="210" w:name="_Toc174368680"/>
      <w:r/>
      <w:bookmarkStart w:id="211" w:name="_Hlt26955070"/>
      <w:r/>
      <w:bookmarkStart w:id="212" w:name="_格式3__银行出具的资信证明"/>
      <w:r/>
      <w:bookmarkStart w:id="213" w:name="_Hlt26671380"/>
      <w:r>
        <w:rPr>
          <w:rFonts w:hint="eastAsia" w:ascii="Arial" w:hAnsi="Arial" w:eastAsia="宋体" w:cs="仿宋"/>
          <w:b/>
          <w:sz w:val="28"/>
          <w:szCs w:val="24"/>
        </w:rPr>
        <w:t xml:space="preserve">法定代表人身份证明书</w:t>
      </w:r>
      <w:bookmarkEnd w:id="210"/>
      <w:r/>
      <w:r/>
    </w:p>
    <w:p>
      <w:pPr>
        <w:keepLines w:val="0"/>
        <w:keepNext w:val="0"/>
        <w:pageBreakBefore w:val="0"/>
        <w:spacing w:after="0" w:line="360" w:lineRule="auto"/>
        <w:widowControl w:val="off"/>
        <w:rPr>
          <w:rFonts w:hint="default" w:ascii="Calibri" w:hAnsi="Calibri" w:eastAsia="Arial" w:cs="Times New Roman"/>
          <w:sz w:val="24"/>
          <w:szCs w:val="21"/>
        </w:rPr>
      </w:pPr>
      <w:r>
        <w:rPr>
          <w:rFonts w:hint="eastAsia" w:ascii="Calibri" w:hAnsi="Calibri" w:eastAsia="Arial" w:cs="Times New Roman"/>
          <w:sz w:val="24"/>
          <w:szCs w:val="21"/>
          <w:u w:val="single"/>
        </w:rPr>
        <w:t xml:space="preserve">                        </w:t>
      </w:r>
      <w:r>
        <w:rPr>
          <w:rFonts w:hint="eastAsia" w:ascii="Calibri" w:hAnsi="Calibri" w:eastAsia="Arial" w:cs="Times New Roman"/>
          <w:sz w:val="24"/>
          <w:szCs w:val="21"/>
        </w:rPr>
        <w:t xml:space="preserve">：（采购人名称）</w:t>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eastAsia" w:ascii="Calibri" w:hAnsi="Calibri" w:eastAsia="Arial" w:cs="Times New Roman"/>
          <w:sz w:val="24"/>
          <w:szCs w:val="21"/>
          <w:u w:val="single"/>
        </w:rPr>
        <w:t xml:space="preserve">  （法定代表人姓名） </w:t>
      </w:r>
      <w:r>
        <w:rPr>
          <w:rFonts w:hint="eastAsia" w:ascii="Calibri" w:hAnsi="Calibri" w:eastAsia="Arial" w:cs="Times New Roman"/>
          <w:sz w:val="24"/>
          <w:szCs w:val="21"/>
        </w:rPr>
        <w:t xml:space="preserve">在</w:t>
      </w:r>
      <w:r>
        <w:rPr>
          <w:rFonts w:hint="eastAsia" w:ascii="Calibri" w:hAnsi="Calibri" w:eastAsia="Arial" w:cs="Times New Roman"/>
          <w:sz w:val="24"/>
          <w:szCs w:val="21"/>
          <w:u w:val="single"/>
        </w:rPr>
        <w:t xml:space="preserve">     （投标人名称）      </w:t>
      </w:r>
      <w:r>
        <w:rPr>
          <w:rFonts w:hint="eastAsia" w:ascii="Calibri" w:hAnsi="Calibri" w:eastAsia="Arial" w:cs="Times New Roman"/>
          <w:sz w:val="24"/>
          <w:szCs w:val="21"/>
        </w:rPr>
        <w:t xml:space="preserve">任（职务名称）职务，是</w:t>
      </w:r>
      <w:r>
        <w:rPr>
          <w:rFonts w:hint="eastAsia" w:ascii="Calibri" w:hAnsi="Calibri" w:eastAsia="Arial" w:cs="Times New Roman"/>
          <w:sz w:val="24"/>
          <w:szCs w:val="21"/>
          <w:u w:val="single"/>
        </w:rPr>
        <w:t xml:space="preserve">（投标人名称）   </w:t>
      </w:r>
      <w:r>
        <w:rPr>
          <w:rFonts w:hint="eastAsia" w:ascii="Calibri" w:hAnsi="Calibri" w:eastAsia="Arial" w:cs="Times New Roman"/>
          <w:sz w:val="24"/>
          <w:szCs w:val="21"/>
        </w:rPr>
        <w:t xml:space="preserve">的法定代表人，联系电话（手机号码）</w:t>
      </w:r>
      <w:r>
        <w:rPr>
          <w:rFonts w:hint="eastAsia" w:ascii="Calibri" w:hAnsi="Calibri" w:eastAsia="Arial" w:cs="Times New Roman"/>
          <w:sz w:val="24"/>
          <w:szCs w:val="21"/>
          <w:u w:val="single"/>
        </w:rPr>
        <w:t xml:space="preserve">                </w:t>
      </w:r>
      <w:r>
        <w:rPr>
          <w:rFonts w:hint="eastAsia" w:ascii="Calibri" w:hAnsi="Calibri" w:eastAsia="Arial" w:cs="Times New Roman"/>
          <w:sz w:val="24"/>
          <w:szCs w:val="21"/>
        </w:rPr>
        <w:t xml:space="preserve">。</w:t>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default" w:ascii="Calibri" w:hAnsi="Calibri" w:eastAsia="Arial" w:cs="Times New Roman"/>
          <w:sz w:val="24"/>
          <w:szCs w:val="21"/>
        </w:rPr>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eastAsia" w:ascii="Calibri" w:hAnsi="Calibri" w:eastAsia="Arial" w:cs="Times New Roman"/>
          <w:sz w:val="24"/>
          <w:szCs w:val="21"/>
        </w:rPr>
        <w:t xml:space="preserve">特此证明。</w:t>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default" w:ascii="Calibri" w:hAnsi="Calibri" w:eastAsia="Arial" w:cs="Times New Roman"/>
          <w:sz w:val="24"/>
          <w:szCs w:val="21"/>
        </w:rPr>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default" w:ascii="Calibri" w:hAnsi="Calibri" w:eastAsia="Arial" w:cs="Times New Roman"/>
          <w:sz w:val="24"/>
          <w:szCs w:val="21"/>
        </w:rPr>
      </w:r>
      <w:r/>
    </w:p>
    <w:p>
      <w:pPr>
        <w:ind w:firstLine="480"/>
        <w:keepLines w:val="0"/>
        <w:keepNext w:val="0"/>
        <w:pageBreakBefore w:val="0"/>
        <w:spacing w:after="0" w:line="360" w:lineRule="auto"/>
        <w:widowControl w:val="off"/>
        <w:rPr>
          <w:rFonts w:hint="default" w:ascii="Calibri" w:hAnsi="Calibri" w:eastAsia="Arial" w:cs="Times New Roman"/>
          <w:sz w:val="24"/>
          <w:szCs w:val="21"/>
          <w:u w:val="single"/>
        </w:rPr>
      </w:pPr>
      <w:r>
        <w:rPr>
          <w:rFonts w:hint="eastAsia" w:ascii="Calibri" w:hAnsi="Calibri" w:eastAsia="Arial" w:cs="Times New Roman"/>
          <w:sz w:val="24"/>
          <w:szCs w:val="21"/>
        </w:rPr>
        <w:t xml:space="preserve">投标人（盖单位公章）：</w:t>
      </w:r>
      <w:r>
        <w:rPr>
          <w:rFonts w:hint="eastAsia" w:ascii="Calibri" w:hAnsi="Calibri" w:eastAsia="Arial" w:cs="Times New Roman"/>
          <w:sz w:val="24"/>
          <w:szCs w:val="21"/>
          <w:u w:val="single"/>
        </w:rPr>
        <w:t xml:space="preserve"> </w:t>
      </w:r>
      <w:r>
        <w:rPr>
          <w:rFonts w:hint="default" w:ascii="Calibri" w:hAnsi="Calibri" w:eastAsia="Arial" w:cs="Times New Roman"/>
          <w:sz w:val="24"/>
          <w:szCs w:val="21"/>
          <w:u w:val="single"/>
        </w:rPr>
        <w:t xml:space="preserve">                        </w:t>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default" w:ascii="Calibri" w:hAnsi="Calibri" w:eastAsia="Arial" w:cs="Times New Roman"/>
          <w:sz w:val="24"/>
          <w:szCs w:val="21"/>
        </w:rPr>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eastAsia" w:ascii="Calibri" w:hAnsi="Calibri" w:eastAsia="Arial" w:cs="Times New Roman"/>
          <w:sz w:val="24"/>
          <w:szCs w:val="21"/>
        </w:rPr>
        <w:t xml:space="preserve">          年    月    日 </w:t>
      </w:r>
      <w:r/>
    </w:p>
    <w:p>
      <w:pPr>
        <w:ind w:firstLine="480"/>
        <w:keepLines w:val="0"/>
        <w:keepNext w:val="0"/>
        <w:pageBreakBefore w:val="0"/>
        <w:spacing w:after="0" w:line="360" w:lineRule="auto"/>
        <w:widowControl w:val="off"/>
        <w:rPr>
          <w:rFonts w:hint="default" w:ascii="Calibri" w:hAnsi="Calibri" w:eastAsia="Arial" w:cs="Times New Roman"/>
          <w:sz w:val="24"/>
          <w:szCs w:val="21"/>
        </w:rPr>
      </w:pPr>
      <w:r>
        <w:rPr>
          <w:rFonts w:hint="default" w:ascii="Calibri" w:hAnsi="Calibri" w:eastAsia="Arial" w:cs="Times New Roman"/>
          <w:sz w:val="24"/>
          <w:szCs w:val="21"/>
        </w:rPr>
      </w:r>
      <w:r/>
    </w:p>
    <w:p>
      <w:pPr>
        <w:pStyle w:val="690"/>
        <w:ind w:firstLine="480"/>
        <w:jc w:val="both"/>
        <w:keepLines w:val="0"/>
        <w:keepNext w:val="0"/>
        <w:pageBreakBefore w:val="0"/>
        <w:spacing w:beforeAutospacing="0" w:afterAutospacing="0" w:line="360" w:lineRule="auto"/>
        <w:widowControl w:val="off"/>
        <w:rPr>
          <w:rFonts w:hint="eastAsia" w:ascii="Calibri" w:hAnsi="Calibri" w:eastAsia="Arial" w:cs="Times New Roman"/>
          <w:sz w:val="24"/>
          <w:szCs w:val="21"/>
        </w:rPr>
      </w:pPr>
      <w:r>
        <w:rPr>
          <w:rFonts w:hint="eastAsia" w:ascii="Calibri" w:hAnsi="Calibri" w:eastAsia="Arial" w:cs="Times New Roman"/>
          <w:sz w:val="24"/>
          <w:szCs w:val="21"/>
        </w:rPr>
        <w:t xml:space="preserve">（附：法定代表人身份证正反面复印件）</w:t>
      </w:r>
      <w:r/>
    </w:p>
    <w:p>
      <w:pPr>
        <w:rPr>
          <w:rFonts w:hint="eastAsia" w:ascii="Calibri" w:hAnsi="Calibri" w:eastAsia="Arial" w:cs="Times New Roman"/>
          <w:sz w:val="24"/>
          <w:szCs w:val="21"/>
        </w:rPr>
      </w:pPr>
      <w:r>
        <w:rPr>
          <w:rFonts w:hint="eastAsia" w:ascii="Calibri" w:hAnsi="Calibri" w:eastAsia="Arial" w:cs="Times New Roman"/>
          <w:sz w:val="24"/>
          <w:szCs w:val="21"/>
        </w:rPr>
        <w:br w:type="page" w:clear="all"/>
      </w:r>
      <w:r/>
    </w:p>
    <w:p>
      <w:pPr>
        <w:ind w:firstLine="0"/>
        <w:jc w:val="center"/>
        <w:spacing w:line="360" w:lineRule="auto"/>
        <w:widowControl w:val="off"/>
        <w:rPr>
          <w:rFonts w:hint="default" w:ascii="Arial" w:hAnsi="Arial" w:eastAsia="宋体" w:cs="仿宋"/>
          <w:b/>
          <w:sz w:val="28"/>
          <w:szCs w:val="24"/>
        </w:rPr>
      </w:pPr>
      <w:r/>
      <w:bookmarkStart w:id="214" w:name="_Toc174368681"/>
      <w:r>
        <w:rPr>
          <w:rFonts w:hint="eastAsia" w:ascii="Arial" w:hAnsi="Arial" w:eastAsia="宋体" w:cs="仿宋"/>
          <w:b/>
          <w:sz w:val="28"/>
          <w:szCs w:val="24"/>
        </w:rPr>
        <w:t xml:space="preserve">法人授权书</w:t>
      </w:r>
      <w:bookmarkEnd w:id="214"/>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本授权书声明：____________（投标人名称）授权________________（被授权人的姓名）为我方就JSZC-</w:t>
      </w:r>
      <w:r>
        <w:rPr>
          <w:rFonts w:hint="default" w:ascii="Times New Roman" w:hAnsi="Times New Roman" w:eastAsia="Arial" w:cs="Times New Roman"/>
          <w:color w:val="000000"/>
          <w:sz w:val="24"/>
          <w:szCs w:val="22"/>
          <w:u w:val="single"/>
        </w:rPr>
        <w:t xml:space="preserve">            </w:t>
      </w:r>
      <w:r>
        <w:rPr>
          <w:rFonts w:hint="default" w:ascii="Times New Roman" w:hAnsi="Times New Roman" w:eastAsia="Arial" w:cs="Times New Roman"/>
          <w:color w:val="000000"/>
          <w:sz w:val="24"/>
          <w:szCs w:val="22"/>
        </w:rPr>
        <w:t xml:space="preserve">号项目采购活动的合法代理人，以本单位名义全权处理一切与该项目采购有关的事务。</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本授权书于______年____月____日起生效，特此声明。</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被授权人身份证号码：</w:t>
      </w:r>
      <w:r>
        <w:rPr>
          <w:rFonts w:hint="default" w:ascii="Times New Roman" w:hAnsi="Times New Roman" w:eastAsia="Arial" w:cs="Times New Roman"/>
          <w:color w:val="000000"/>
          <w:sz w:val="24"/>
          <w:szCs w:val="22"/>
          <w:u w:val="single"/>
        </w:rPr>
        <w:t xml:space="preserve">                              </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被授权人联系电话：（手机）</w:t>
      </w:r>
      <w:r>
        <w:rPr>
          <w:rFonts w:hint="default" w:ascii="Times New Roman" w:hAnsi="Times New Roman" w:eastAsia="Arial" w:cs="Times New Roman"/>
          <w:color w:val="000000"/>
          <w:sz w:val="24"/>
          <w:szCs w:val="22"/>
          <w:u w:val="single"/>
        </w:rPr>
        <w:t xml:space="preserve">                          </w:t>
      </w:r>
      <w:r/>
    </w:p>
    <w:p>
      <w:pPr>
        <w:ind w:firstLine="480"/>
        <w:jc w:val="left"/>
        <w:keepLines w:val="0"/>
        <w:keepNext w:val="0"/>
        <w:pageBreakBefore w:val="0"/>
        <w:spacing w:line="360" w:lineRule="auto"/>
        <w:widowControl w:val="off"/>
        <w:rPr>
          <w:rFonts w:hint="default" w:ascii="Times New Roman" w:hAnsi="Times New Roman" w:eastAsia="Arial" w:cs="Times New Roman"/>
          <w:color w:val="000000"/>
          <w:sz w:val="24"/>
          <w:szCs w:val="22"/>
          <w:u w:val="single"/>
        </w:rPr>
      </w:pPr>
      <w:r>
        <w:rPr>
          <w:rFonts w:hint="eastAsia" w:ascii="Times New Roman" w:hAnsi="Times New Roman" w:eastAsia="Arial" w:cs="Times New Roman"/>
          <w:color w:val="000000"/>
          <w:sz w:val="24"/>
          <w:szCs w:val="22"/>
        </w:rPr>
        <w:t xml:space="preserve">法定代表人或被授权人（签字或盖章）：</w:t>
      </w:r>
      <w:r>
        <w:rPr>
          <w:rFonts w:hint="eastAsia" w:ascii="Times New Roman" w:hAnsi="Times New Roman" w:eastAsia="Arial" w:cs="Times New Roman"/>
          <w:color w:val="000000"/>
          <w:sz w:val="24"/>
          <w:szCs w:val="22"/>
          <w:u w:val="single"/>
        </w:rPr>
        <w:t xml:space="preserve"> </w:t>
      </w:r>
      <w:r>
        <w:rPr>
          <w:rFonts w:hint="default" w:ascii="Times New Roman" w:hAnsi="Times New Roman" w:eastAsia="Arial" w:cs="Times New Roman"/>
          <w:color w:val="000000"/>
          <w:sz w:val="24"/>
          <w:szCs w:val="22"/>
          <w:u w:val="single"/>
        </w:rPr>
        <w:t xml:space="preserve">                </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授权单位名称：</w:t>
      </w:r>
      <w:r>
        <w:rPr>
          <w:rFonts w:hint="default" w:ascii="Times New Roman" w:hAnsi="Times New Roman" w:eastAsia="Arial" w:cs="Times New Roman"/>
          <w:color w:val="000000"/>
          <w:sz w:val="24"/>
          <w:szCs w:val="22"/>
          <w:u w:val="single"/>
        </w:rPr>
        <w:t xml:space="preserve">（加盖CA电子公章）</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单位地址：</w:t>
      </w:r>
      <w:r>
        <w:rPr>
          <w:rFonts w:hint="default" w:ascii="Times New Roman" w:hAnsi="Times New Roman" w:eastAsia="Arial" w:cs="Times New Roman"/>
          <w:color w:val="000000"/>
          <w:sz w:val="24"/>
          <w:szCs w:val="22"/>
          <w:u w:val="single"/>
        </w:rPr>
        <w:t xml:space="preserve">                                         </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Times New Roman" w:hAnsi="Times New Roman" w:eastAsia="Arial" w:cs="Times New Roman"/>
          <w:color w:val="000000"/>
          <w:sz w:val="24"/>
          <w:szCs w:val="22"/>
        </w:rPr>
        <w:t xml:space="preserve">日期：</w:t>
      </w:r>
      <w:r>
        <w:rPr>
          <w:rFonts w:hint="default" w:ascii="Times New Roman" w:hAnsi="Times New Roman" w:eastAsia="Arial" w:cs="Times New Roman"/>
          <w:color w:val="000000"/>
          <w:sz w:val="24"/>
          <w:szCs w:val="22"/>
          <w:u w:val="single"/>
        </w:rPr>
        <w:t xml:space="preserve">                                         </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eastAsia" w:ascii="Calibri" w:hAnsi="Calibri" w:eastAsia="Arial" w:cs="Times New Roman"/>
          <w:sz w:val="24"/>
          <w:szCs w:val="22"/>
        </w:rPr>
        <w:t xml:space="preserve">（附：被授权人身份证正反面复印件）</w:t>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Calibri" w:hAnsi="Calibri" w:eastAsia="Arial" w:cs="Times New Roman"/>
          <w:sz w:val="24"/>
          <w:szCs w:val="22"/>
        </w:rPr>
      </w:r>
      <w:r/>
    </w:p>
    <w:p>
      <w:pPr>
        <w:ind w:firstLine="480"/>
        <w:jc w:val="left"/>
        <w:keepLines w:val="0"/>
        <w:keepNext w:val="0"/>
        <w:pageBreakBefore w:val="0"/>
        <w:spacing w:line="360" w:lineRule="auto"/>
        <w:widowControl w:val="off"/>
        <w:rPr>
          <w:rFonts w:hint="default" w:ascii="Calibri" w:hAnsi="Calibri" w:eastAsia="Arial" w:cs="Times New Roman"/>
          <w:sz w:val="24"/>
          <w:szCs w:val="22"/>
        </w:rPr>
      </w:pPr>
      <w:r>
        <w:rPr>
          <w:rFonts w:hint="default" w:ascii="Calibri" w:hAnsi="Calibri" w:eastAsia="Arial" w:cs="Times New Roman"/>
          <w:sz w:val="24"/>
          <w:szCs w:val="22"/>
        </w:rPr>
      </w:r>
      <w:r/>
    </w:p>
    <w:p>
      <w:pPr>
        <w:ind w:firstLine="480"/>
        <w:jc w:val="left"/>
        <w:keepLines w:val="0"/>
        <w:keepNext w:val="0"/>
        <w:pageBreakBefore w:val="0"/>
        <w:spacing w:line="360" w:lineRule="auto"/>
        <w:widowControl w:val="off"/>
        <w:rPr>
          <w:rFonts w:hint="eastAsia" w:ascii="宋体" w:hAnsi="宋体" w:eastAsia="宋体" w:cs="宋体"/>
          <w:sz w:val="24"/>
          <w:szCs w:val="22"/>
        </w:rPr>
      </w:pPr>
      <w:r>
        <w:rPr>
          <w:rFonts w:hint="eastAsia" w:ascii="宋体" w:hAnsi="宋体" w:eastAsia="宋体" w:cs="宋体"/>
          <w:sz w:val="24"/>
          <w:szCs w:val="22"/>
        </w:rPr>
        <w:t xml:space="preserve">注：1、授权人须为本单位正式职工并提供投标人为被授权人缴纳的社会养老保险证明。</w:t>
      </w:r>
      <w:r/>
    </w:p>
    <w:p>
      <w:pPr>
        <w:ind w:firstLine="480"/>
        <w:jc w:val="left"/>
        <w:keepLines w:val="0"/>
        <w:keepNext w:val="0"/>
        <w:pageBreakBefore w:val="0"/>
        <w:spacing w:line="360" w:lineRule="auto"/>
        <w:widowControl w:val="off"/>
        <w:rPr>
          <w:rFonts w:hint="eastAsia" w:ascii="宋体" w:hAnsi="宋体" w:eastAsia="宋体" w:cs="宋体"/>
          <w:sz w:val="24"/>
          <w:szCs w:val="22"/>
        </w:rPr>
      </w:pPr>
      <w:r>
        <w:rPr>
          <w:rFonts w:hint="eastAsia" w:ascii="宋体" w:hAnsi="宋体" w:eastAsia="宋体" w:cs="宋体"/>
          <w:sz w:val="24"/>
          <w:szCs w:val="22"/>
        </w:rPr>
        <w:t xml:space="preserve">2、代表人亲自参加时无需提供授权书及保险证明</w:t>
      </w:r>
      <w:r/>
    </w:p>
    <w:p>
      <w:pPr>
        <w:pStyle w:val="690"/>
        <w:ind w:firstLine="480"/>
        <w:jc w:val="both"/>
        <w:keepLines w:val="0"/>
        <w:keepNext w:val="0"/>
        <w:pageBreakBefore w:val="0"/>
        <w:spacing w:beforeAutospacing="0" w:afterAutospacing="0" w:line="360" w:lineRule="auto"/>
        <w:widowControl w:val="off"/>
        <w:rPr>
          <w:rFonts w:hint="eastAsia" w:ascii="Calibri" w:hAnsi="Calibri" w:eastAsia="Arial" w:cs="Times New Roman"/>
          <w:sz w:val="24"/>
          <w:szCs w:val="21"/>
        </w:rPr>
      </w:pPr>
      <w:r>
        <w:rPr>
          <w:rFonts w:hint="eastAsia" w:ascii="Calibri" w:hAnsi="Calibri" w:eastAsia="Arial" w:cs="Times New Roman"/>
          <w:sz w:val="24"/>
          <w:szCs w:val="21"/>
        </w:rPr>
      </w:r>
      <w:r/>
    </w:p>
    <w:p>
      <w:pPr>
        <w:pStyle w:val="690"/>
        <w:jc w:val="center"/>
        <w:keepLines/>
        <w:keepNext/>
        <w:spacing w:before="260" w:beforeAutospacing="0" w:after="260" w:afterAutospacing="0" w:line="415" w:lineRule="auto"/>
        <w:rPr>
          <w:highlight w:val="none"/>
        </w:rPr>
      </w:pPr>
      <w:r>
        <w:rPr>
          <w:rFonts w:hint="eastAsia" w:ascii="宋体" w:hAnsi="宋体" w:eastAsia="宋体" w:cs="宋体"/>
          <w:b/>
          <w:color w:val="000000"/>
          <w:highlight w:val="none"/>
        </w:rPr>
        <w:br w:type="page" w:clear="all"/>
      </w:r>
      <w:r>
        <w:rPr>
          <w:rFonts w:hint="eastAsia" w:ascii="黑体" w:hAnsi="宋体" w:eastAsia="黑体" w:cs="黑体"/>
          <w:b/>
          <w:i/>
          <w:color w:val="000000"/>
          <w:sz w:val="32"/>
          <w:szCs w:val="32"/>
          <w:highlight w:val="none"/>
          <w:u w:val="single"/>
        </w:rPr>
        <w:t xml:space="preserve">八、投标函</w:t>
      </w:r>
      <w:r/>
    </w:p>
    <w:p>
      <w:pPr>
        <w:pStyle w:val="690"/>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采购人</w:t>
      </w:r>
      <w:r>
        <w:rPr>
          <w:rFonts w:hint="eastAsia" w:ascii="宋体" w:hAnsi="宋体" w:eastAsia="宋体" w:cs="宋体"/>
          <w:color w:val="000000"/>
          <w:highlight w:val="none"/>
          <w:lang w:eastAsia="zh-CN"/>
        </w:rPr>
        <w:t xml:space="preserve">）</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根据贵方的JSZC-***</w:t>
      </w:r>
      <w:r>
        <w:rPr>
          <w:rFonts w:hint="eastAsia" w:ascii="宋体" w:hAnsi="宋体" w:eastAsia="宋体" w:cs="宋体"/>
          <w:b/>
          <w:color w:val="000000"/>
          <w:sz w:val="36"/>
          <w:szCs w:val="36"/>
          <w:highlight w:val="none"/>
          <w:u w:val="single"/>
        </w:rPr>
        <w:t xml:space="preserve">            </w:t>
      </w:r>
      <w:r>
        <w:rPr>
          <w:rFonts w:hint="eastAsia" w:ascii="宋体" w:hAnsi="宋体" w:eastAsia="宋体" w:cs="宋体"/>
          <w:color w:val="000000"/>
          <w:highlight w:val="none"/>
        </w:rPr>
        <w:t xml:space="preserve">号招标文件，正式授权下述签字人_________________(姓名)代表我方______________（投标人的名称），全权处理本次项目投标的有关事宜。</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1.按招标文件规定的各项要求，向买方提供所需货物（包含与货物相关的服务）。</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90"/>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90"/>
        <w:ind w:left="425"/>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90"/>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90"/>
        <w:ind w:firstLine="240"/>
        <w:jc w:val="center"/>
        <w:spacing w:beforeAutospacing="0" w:afterAutospacing="0" w:line="0" w:lineRule="atLeast"/>
        <w:rPr>
          <w:highlight w:val="none"/>
        </w:rPr>
      </w:pPr>
      <w:r>
        <w:rPr>
          <w:highlight w:val="none"/>
        </w:rPr>
        <w:t xml:space="preserve"> </w:t>
      </w:r>
      <w:r/>
    </w:p>
    <w:p>
      <w:pPr>
        <w:pStyle w:val="690"/>
        <w:ind w:firstLine="240"/>
        <w:jc w:val="center"/>
        <w:spacing w:beforeAutospacing="0" w:afterAutospacing="0" w:line="0" w:lineRule="atLeast"/>
        <w:rPr>
          <w:highlight w:val="none"/>
        </w:rPr>
      </w:pPr>
      <w:r>
        <w:rPr>
          <w:highlight w:val="none"/>
        </w:rPr>
        <w:t xml:space="preserve"> </w:t>
      </w:r>
      <w:r/>
    </w:p>
    <w:p>
      <w:pPr>
        <w:pStyle w:val="690"/>
        <w:ind w:firstLine="240"/>
        <w:jc w:val="center"/>
        <w:spacing w:beforeAutospacing="0" w:afterAutospacing="0" w:line="0" w:lineRule="atLeast"/>
        <w:rPr>
          <w:highlight w:val="none"/>
        </w:rPr>
      </w:pPr>
      <w:r>
        <w:rPr>
          <w:highlight w:val="none"/>
        </w:rPr>
        <w:t xml:space="preserve"> </w:t>
      </w:r>
      <w:r/>
    </w:p>
    <w:p>
      <w:pPr>
        <w:pStyle w:val="690"/>
        <w:ind w:firstLine="240"/>
        <w:jc w:val="center"/>
        <w:spacing w:beforeAutospacing="0" w:afterAutospacing="0" w:line="0" w:lineRule="atLeast"/>
        <w:rPr>
          <w:highlight w:val="none"/>
        </w:rPr>
      </w:pPr>
      <w:r>
        <w:rPr>
          <w:highlight w:val="none"/>
        </w:rPr>
        <w:t xml:space="preserve"> </w:t>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r>
      <w:r/>
    </w:p>
    <w:p>
      <w:pPr>
        <w:pStyle w:val="690"/>
        <w:ind w:firstLine="24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九、《小微企业声明函》（货物）</w:t>
      </w:r>
      <w:r/>
    </w:p>
    <w:p>
      <w:pPr>
        <w:numPr>
          <w:ilvl w:val="0"/>
          <w:numId w:val="0"/>
        </w:numPr>
        <w:jc w:val="center"/>
        <w:spacing w:beforeAutospacing="0" w:afterAutospacing="0"/>
        <w:rPr>
          <w:rFonts w:hint="default" w:ascii="Calibri" w:hAnsi="Calibri" w:eastAsia="Arial" w:cs="Times New Roman"/>
          <w:b w:val="0"/>
          <w:bCs/>
          <w:sz w:val="22"/>
          <w:szCs w:val="22"/>
        </w:rPr>
      </w:pPr>
      <w:r>
        <w:rPr>
          <w:rFonts w:hint="eastAsia" w:ascii="黑体" w:hAnsi="宋体" w:eastAsia="黑体" w:cs="黑体"/>
          <w:b w:val="0"/>
          <w:bCs/>
          <w:color w:val="000000"/>
          <w:sz w:val="24"/>
          <w:szCs w:val="24"/>
          <w:highlight w:val="none"/>
        </w:rPr>
        <w:t xml:space="preserve">（分包号：**）</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本公司（联合体）郑重声明，根据《政府采购促进中小企业发展管理办法》(财库[2020]46号)的规定，本公司（联合体）参加盐城市政府采购人组织的</w:t>
      </w:r>
      <w:r>
        <w:rPr>
          <w:rFonts w:hint="eastAsia" w:ascii="宋体" w:hAnsi="宋体" w:eastAsia="宋体" w:cs="宋体"/>
          <w:color w:val="000000"/>
          <w:sz w:val="24"/>
          <w:szCs w:val="22"/>
          <w:u w:val="single"/>
        </w:rPr>
        <w:t xml:space="preserve">（单位名称）</w:t>
      </w:r>
      <w:r>
        <w:rPr>
          <w:rFonts w:hint="eastAsia" w:ascii="宋体" w:hAnsi="宋体" w:eastAsia="宋体" w:cs="宋体"/>
          <w:color w:val="000000"/>
          <w:sz w:val="24"/>
          <w:szCs w:val="22"/>
        </w:rPr>
        <w:t xml:space="preserve">采购编号为</w:t>
      </w:r>
      <w:r>
        <w:rPr>
          <w:rFonts w:hint="eastAsia" w:ascii="宋体" w:hAnsi="宋体" w:eastAsia="宋体" w:cs="宋体"/>
          <w:color w:val="000000"/>
          <w:sz w:val="24"/>
          <w:szCs w:val="22"/>
          <w:u w:val="single"/>
        </w:rPr>
        <w:t xml:space="preserve">***</w:t>
      </w:r>
      <w:r>
        <w:rPr>
          <w:rFonts w:hint="eastAsia" w:ascii="宋体" w:hAnsi="宋体" w:eastAsia="宋体" w:cs="宋体"/>
          <w:color w:val="000000"/>
          <w:sz w:val="24"/>
          <w:szCs w:val="22"/>
        </w:rPr>
        <w:t xml:space="preserve">，</w:t>
      </w:r>
      <w:r>
        <w:rPr>
          <w:rFonts w:hint="eastAsia" w:ascii="宋体" w:hAnsi="宋体" w:eastAsia="宋体" w:cs="宋体"/>
          <w:color w:val="000000"/>
          <w:sz w:val="24"/>
          <w:szCs w:val="22"/>
          <w:u w:val="single"/>
        </w:rPr>
        <w:t xml:space="preserve">（项目名称）（分包号：**）</w:t>
      </w:r>
      <w:r>
        <w:rPr>
          <w:rFonts w:hint="eastAsia" w:ascii="宋体" w:hAnsi="宋体" w:eastAsia="宋体" w:cs="宋体"/>
          <w:color w:val="000000"/>
          <w:sz w:val="24"/>
          <w:szCs w:val="22"/>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1.</w:t>
      </w:r>
      <w:r>
        <w:rPr>
          <w:rFonts w:hint="eastAsia" w:ascii="宋体" w:hAnsi="宋体" w:eastAsia="宋体" w:cs="宋体"/>
          <w:color w:val="000000"/>
          <w:sz w:val="24"/>
          <w:szCs w:val="22"/>
          <w:u w:val="single"/>
        </w:rPr>
        <w:t xml:space="preserve">（标的名称）</w:t>
      </w:r>
      <w:r>
        <w:rPr>
          <w:rFonts w:hint="eastAsia" w:ascii="宋体" w:hAnsi="宋体" w:eastAsia="宋体" w:cs="宋体"/>
          <w:i/>
          <w:color w:val="000000"/>
          <w:sz w:val="24"/>
          <w:szCs w:val="22"/>
        </w:rPr>
        <w:t xml:space="preserve">，</w:t>
      </w:r>
      <w:r>
        <w:rPr>
          <w:rFonts w:hint="eastAsia" w:ascii="宋体" w:hAnsi="宋体" w:eastAsia="宋体" w:cs="宋体"/>
          <w:color w:val="000000"/>
          <w:sz w:val="24"/>
          <w:szCs w:val="22"/>
        </w:rPr>
        <w:t xml:space="preserve">属于</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行业；制造商为</w:t>
      </w:r>
      <w:r>
        <w:rPr>
          <w:rFonts w:hint="eastAsia" w:ascii="宋体" w:hAnsi="宋体" w:eastAsia="宋体" w:cs="宋体"/>
          <w:color w:val="000000"/>
          <w:sz w:val="24"/>
          <w:szCs w:val="22"/>
          <w:u w:val="single"/>
        </w:rPr>
        <w:t xml:space="preserve">（企业名称）</w:t>
      </w:r>
      <w:r>
        <w:rPr>
          <w:rFonts w:hint="eastAsia"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人，营业收入为</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万元，资产总额为</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万元，属于</w:t>
      </w:r>
      <w:r>
        <w:rPr>
          <w:rFonts w:hint="eastAsia" w:ascii="宋体" w:hAnsi="宋体" w:eastAsia="宋体" w:cs="宋体"/>
          <w:color w:val="000000"/>
          <w:sz w:val="24"/>
          <w:szCs w:val="22"/>
          <w:u w:val="single"/>
        </w:rPr>
        <w:t xml:space="preserve">（中型企业、小型企业、微型企业）；</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2.</w:t>
      </w:r>
      <w:r>
        <w:rPr>
          <w:rFonts w:hint="eastAsia" w:ascii="宋体" w:hAnsi="宋体" w:eastAsia="宋体" w:cs="宋体"/>
          <w:color w:val="000000"/>
          <w:sz w:val="24"/>
          <w:szCs w:val="22"/>
          <w:u w:val="single"/>
        </w:rPr>
        <w:t xml:space="preserve">（标的名称）</w:t>
      </w:r>
      <w:r>
        <w:rPr>
          <w:rFonts w:hint="eastAsia" w:ascii="宋体" w:hAnsi="宋体" w:eastAsia="宋体" w:cs="宋体"/>
          <w:i/>
          <w:color w:val="000000"/>
          <w:sz w:val="24"/>
          <w:szCs w:val="22"/>
        </w:rPr>
        <w:t xml:space="preserve">，</w:t>
      </w:r>
      <w:r>
        <w:rPr>
          <w:rFonts w:hint="eastAsia" w:ascii="宋体" w:hAnsi="宋体" w:eastAsia="宋体" w:cs="宋体"/>
          <w:color w:val="000000"/>
          <w:sz w:val="24"/>
          <w:szCs w:val="22"/>
        </w:rPr>
        <w:t xml:space="preserve">属于</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行业；制造商为</w:t>
      </w:r>
      <w:r>
        <w:rPr>
          <w:rFonts w:hint="eastAsia" w:ascii="宋体" w:hAnsi="宋体" w:eastAsia="宋体" w:cs="宋体"/>
          <w:color w:val="000000"/>
          <w:sz w:val="24"/>
          <w:szCs w:val="22"/>
          <w:u w:val="single"/>
        </w:rPr>
        <w:t xml:space="preserve">（企业名称）</w:t>
      </w:r>
      <w:r>
        <w:rPr>
          <w:rFonts w:hint="eastAsia" w:ascii="宋体" w:hAnsi="宋体" w:eastAsia="宋体" w:cs="宋体"/>
          <w:color w:val="000000"/>
          <w:sz w:val="24"/>
          <w:szCs w:val="22"/>
        </w:rPr>
        <w:t xml:space="preserve">，从业人员</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人，营业收入为</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万元，资产总额为</w:t>
      </w:r>
      <w:r>
        <w:rPr>
          <w:rFonts w:hint="eastAsia" w:ascii="宋体" w:hAnsi="宋体" w:eastAsia="宋体" w:cs="宋体"/>
          <w:color w:val="000000"/>
          <w:sz w:val="24"/>
          <w:szCs w:val="22"/>
          <w:u w:val="single"/>
        </w:rPr>
        <w:t xml:space="preserve">      </w:t>
      </w:r>
      <w:r>
        <w:rPr>
          <w:rFonts w:hint="eastAsia" w:ascii="宋体" w:hAnsi="宋体" w:eastAsia="宋体" w:cs="宋体"/>
          <w:color w:val="000000"/>
          <w:sz w:val="24"/>
          <w:szCs w:val="22"/>
        </w:rPr>
        <w:t xml:space="preserve">万元，属于</w:t>
      </w:r>
      <w:r>
        <w:rPr>
          <w:rFonts w:hint="eastAsia" w:ascii="宋体" w:hAnsi="宋体" w:eastAsia="宋体" w:cs="宋体"/>
          <w:color w:val="000000"/>
          <w:sz w:val="24"/>
          <w:szCs w:val="22"/>
          <w:u w:val="single"/>
        </w:rPr>
        <w:t xml:space="preserve">（中型企业、小型企业、微型企业）；</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以上企业，不属于大企业的分支机构，不存在控股股东为大企业的情形，也不存在与大企业的负责人为同一人的情形。</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本企业对上述声明内容的真实性负责。如有虚假，将依法承担相应责任</w:t>
      </w:r>
      <w:r/>
    </w:p>
    <w:p>
      <w:pPr>
        <w:ind w:firstLine="560"/>
        <w:jc w:val="left"/>
        <w:spacing w:line="276" w:lineRule="auto"/>
        <w:rPr>
          <w:rFonts w:hint="default" w:ascii="Calibri" w:hAnsi="Calibri" w:eastAsia="Arial" w:cs="Times New Roman"/>
          <w:sz w:val="24"/>
          <w:szCs w:val="22"/>
        </w:rPr>
      </w:pPr>
      <w:r>
        <w:rPr>
          <w:rFonts w:hint="default" w:ascii="Calibri" w:hAnsi="Calibri" w:eastAsia="Arial" w:cs="Times New Roman"/>
          <w:sz w:val="24"/>
          <w:szCs w:val="22"/>
        </w:rPr>
        <w:t xml:space="preserve"> </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企业名称（加盖CA电子公章）：</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日  期：</w:t>
      </w:r>
      <w:r/>
    </w:p>
    <w:p>
      <w:pPr>
        <w:ind w:firstLine="560"/>
        <w:jc w:val="left"/>
        <w:spacing w:line="276" w:lineRule="auto"/>
        <w:rPr>
          <w:rFonts w:hint="default" w:ascii="Calibri" w:hAnsi="Calibri" w:eastAsia="Arial" w:cs="Times New Roman"/>
          <w:sz w:val="24"/>
          <w:szCs w:val="22"/>
        </w:rPr>
      </w:pPr>
      <w:r>
        <w:rPr>
          <w:rFonts w:hint="default" w:ascii="Calibri" w:hAnsi="Calibri" w:eastAsia="Arial" w:cs="Times New Roman"/>
          <w:sz w:val="24"/>
          <w:szCs w:val="22"/>
        </w:rPr>
        <w:t xml:space="preserve"> </w:t>
      </w:r>
      <w:r/>
    </w:p>
    <w:p>
      <w:pPr>
        <w:ind w:firstLine="560"/>
        <w:jc w:val="left"/>
        <w:spacing w:line="276" w:lineRule="auto"/>
        <w:rPr>
          <w:rFonts w:hint="default" w:ascii="Calibri" w:hAnsi="Calibri" w:eastAsia="Arial" w:cs="Times New Roman"/>
          <w:sz w:val="24"/>
          <w:szCs w:val="22"/>
        </w:rPr>
      </w:pPr>
      <w:r>
        <w:rPr>
          <w:rFonts w:hint="eastAsia" w:ascii="宋体" w:hAnsi="宋体" w:eastAsia="宋体" w:cs="宋体"/>
          <w:color w:val="000000"/>
          <w:sz w:val="24"/>
          <w:szCs w:val="22"/>
        </w:rPr>
        <w:t xml:space="preserve">备注1：从业人员、营业收入、资产总额填报上一年度数据，无上一年度数据的新成立企业可不填报。</w:t>
      </w:r>
      <w:r/>
    </w:p>
    <w:p>
      <w:pPr>
        <w:pStyle w:val="690"/>
        <w:ind w:firstLine="480"/>
        <w:jc w:val="both"/>
        <w:spacing w:before="0" w:beforeAutospacing="0" w:after="0" w:afterAutospacing="0" w:line="360" w:lineRule="auto"/>
        <w:widowControl w:val="off"/>
        <w:rPr>
          <w:highlight w:val="none"/>
        </w:rPr>
      </w:pPr>
      <w:r>
        <w:rPr>
          <w:rFonts w:hint="eastAsia" w:ascii="宋体" w:hAnsi="宋体" w:eastAsia="宋体" w:cs="宋体"/>
          <w:color w:val="000000"/>
          <w:sz w:val="24"/>
          <w:szCs w:val="22"/>
        </w:rPr>
        <w:t xml:space="preserve">备注2：供应商如不提供此声明函，价格将不做相应扣除（如项目全面面向中小企业，则资格审查不通过）。</w:t>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 </w:t>
      </w:r>
      <w:r/>
    </w:p>
    <w:p>
      <w:pPr>
        <w:pStyle w:val="690"/>
        <w:jc w:val="center"/>
        <w:spacing w:beforeAutospacing="0" w:afterAutospacing="0" w:line="0" w:lineRule="atLeast"/>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90"/>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十、残疾人福利性单位声明函（分包号：**）</w:t>
      </w:r>
      <w:r/>
    </w:p>
    <w:p>
      <w:pPr>
        <w:pStyle w:val="69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项目（分包号：**）采购活动提供本单位制造的货物，或者提供其他残疾人福利性单位制造的货物（不包括使用非残疾人福利性单位注册商标的货物）。</w:t>
      </w:r>
      <w:r/>
    </w:p>
    <w:p>
      <w:pPr>
        <w:pStyle w:val="69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90"/>
        <w:ind w:firstLine="480"/>
        <w:jc w:val="both"/>
        <w:spacing w:beforeAutospacing="0" w:afterAutospacing="0" w:line="0" w:lineRule="atLeast"/>
        <w:rPr>
          <w:highlight w:val="none"/>
        </w:rPr>
      </w:pPr>
      <w:r>
        <w:rPr>
          <w:highlight w:val="none"/>
        </w:rPr>
        <w:t xml:space="preserve"> </w:t>
      </w:r>
      <w:r/>
    </w:p>
    <w:p>
      <w:pPr>
        <w:pStyle w:val="690"/>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。2、中标供应商为残疾人福利单位的，此声明函将随中标结果同时公告，接受社会监督</w:t>
      </w:r>
      <w:r/>
    </w:p>
    <w:p>
      <w:pPr>
        <w:pStyle w:val="690"/>
        <w:ind w:firstLine="624"/>
        <w:jc w:val="both"/>
        <w:spacing w:beforeAutospacing="0" w:afterAutospacing="0" w:line="0" w:lineRule="atLeast"/>
        <w:rPr>
          <w:highlight w:val="none"/>
        </w:rPr>
      </w:pPr>
      <w:r>
        <w:rPr>
          <w:highlight w:val="none"/>
        </w:rPr>
        <w:t xml:space="preserve"> </w:t>
      </w:r>
      <w:r/>
    </w:p>
    <w:p>
      <w:pPr>
        <w:pStyle w:val="690"/>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90"/>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highlight w:val="none"/>
        </w:rPr>
        <w:t xml:space="preserve"> </w:t>
      </w:r>
      <w:r/>
    </w:p>
    <w:p>
      <w:pPr>
        <w:pStyle w:val="690"/>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十一、联合体协议（参考格式）（分包号：**）</w:t>
      </w:r>
      <w:r/>
    </w:p>
    <w:p>
      <w:pPr>
        <w:pStyle w:val="690"/>
        <w:jc w:val="both"/>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（联合体中各供应商全称）在此达成以下协议：</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 xml:space="preserve">自愿组成联合体，参加盐城市政府采购中心组织的采购编号为</w:t>
      </w:r>
      <w:r>
        <w:rPr>
          <w:rFonts w:hint="eastAsia" w:ascii="宋体" w:hAnsi="宋体" w:eastAsia="宋体" w:cs="宋体"/>
          <w:color w:val="000000"/>
          <w:highlight w:val="none"/>
          <w:u w:val="single"/>
        </w:rPr>
        <w:t xml:space="preserve">（编号全称），（项目全称）</w:t>
      </w:r>
      <w:r>
        <w:rPr>
          <w:rFonts w:hint="eastAsia" w:ascii="宋体" w:hAnsi="宋体" w:eastAsia="宋体" w:cs="宋体"/>
          <w:color w:val="000000"/>
          <w:highlight w:val="none"/>
        </w:rPr>
        <w:t xml:space="preserve">项目（分包号：**）的政府采购活动，我联合体指定</w:t>
      </w:r>
      <w:r>
        <w:rPr>
          <w:rFonts w:hint="eastAsia" w:ascii="宋体" w:hAnsi="宋体" w:eastAsia="宋体" w:cs="宋体"/>
          <w:color w:val="000000"/>
          <w:highlight w:val="none"/>
          <w:u w:val="single"/>
        </w:rPr>
        <w:t xml:space="preserve">（供应商*）</w:t>
      </w:r>
      <w:r>
        <w:rPr>
          <w:rFonts w:hint="eastAsia" w:ascii="宋体" w:hAnsi="宋体" w:eastAsia="宋体" w:cs="宋体"/>
          <w:color w:val="000000"/>
          <w:highlight w:val="none"/>
        </w:rPr>
        <w:t xml:space="preserve">为牵头单位（牵头单位必须为联合体成员）。</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90"/>
        <w:ind w:firstLine="645"/>
        <w:jc w:val="both"/>
        <w:spacing w:beforeAutospacing="0" w:afterAutospacing="0" w:line="0" w:lineRule="atLeast"/>
        <w:rPr>
          <w:highlight w:val="none"/>
        </w:rPr>
      </w:pPr>
      <w:r>
        <w:rPr>
          <w:highlight w:val="none"/>
        </w:rPr>
        <w:t xml:space="preserve"> </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备注：本招标文件中要求加盖CA电子签章的地方，仅需加盖牵头单位的CA电子签章。</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w:t>
      </w:r>
      <w:r/>
    </w:p>
    <w:p>
      <w:pPr>
        <w:pStyle w:val="690"/>
        <w:ind w:firstLine="645"/>
        <w:jc w:val="right"/>
        <w:spacing w:beforeAutospacing="0" w:afterAutospacing="0" w:line="0" w:lineRule="atLeast"/>
        <w:rPr>
          <w:highlight w:val="none"/>
        </w:rPr>
      </w:pPr>
      <w:r>
        <w:rPr>
          <w:rFonts w:hint="eastAsia" w:ascii="宋体" w:hAnsi="宋体" w:eastAsia="宋体" w:cs="宋体"/>
          <w:color w:val="000000"/>
          <w:highlight w:val="none"/>
        </w:rPr>
        <w:t xml:space="preserve">联合体中各供应商全称（公章）：     </w:t>
      </w:r>
      <w:r/>
    </w:p>
    <w:p>
      <w:pPr>
        <w:pStyle w:val="690"/>
        <w:ind w:firstLine="645"/>
        <w:jc w:val="both"/>
        <w:spacing w:beforeAutospacing="0" w:afterAutospacing="0" w:line="0" w:lineRule="atLeast"/>
        <w:rPr>
          <w:highlight w:val="none"/>
        </w:rPr>
      </w:pPr>
      <w:r>
        <w:rPr>
          <w:rFonts w:hint="eastAsia" w:ascii="宋体" w:hAnsi="宋体" w:eastAsia="宋体" w:cs="宋体"/>
          <w:color w:val="000000"/>
          <w:highlight w:val="none"/>
        </w:rPr>
        <w:t xml:space="preserve">                                        日期：</w:t>
      </w:r>
      <w:r/>
    </w:p>
    <w:p>
      <w:pPr>
        <w:pStyle w:val="690"/>
        <w:ind w:firstLine="645"/>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line="0" w:lineRule="atLeast"/>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rFonts w:hint="eastAsia" w:ascii="黑体" w:hAnsi="宋体" w:eastAsia="黑体" w:cs="黑体"/>
          <w:b/>
          <w:color w:val="000000"/>
          <w:sz w:val="32"/>
          <w:szCs w:val="32"/>
          <w:highlight w:val="none"/>
        </w:rPr>
        <w:t xml:space="preserve">十二、投标分项报价表（分包号：***）</w:t>
      </w:r>
      <w:r/>
    </w:p>
    <w:tbl>
      <w:tblPr>
        <w:tblStyle w:val="684"/>
        <w:tblW w:w="4991" w:type="pct"/>
        <w:jc w:val="center"/>
        <w:tblLayout w:type="autofit"/>
        <w:tblCellMar>
          <w:left w:w="15" w:type="dxa"/>
          <w:top w:w="15" w:type="dxa"/>
          <w:right w:w="15" w:type="dxa"/>
          <w:bottom w:w="0" w:type="dxa"/>
        </w:tblCellMar>
        <w:tblLook w:val="04A0" w:firstRow="1" w:lastRow="0" w:firstColumn="1" w:lastColumn="0" w:noHBand="0" w:noVBand="1"/>
      </w:tblPr>
      <w:tblGrid>
        <w:gridCol w:w="572"/>
        <w:gridCol w:w="1906"/>
        <w:gridCol w:w="1829"/>
        <w:gridCol w:w="924"/>
        <w:gridCol w:w="726"/>
        <w:gridCol w:w="1190"/>
        <w:gridCol w:w="1174"/>
      </w:tblGrid>
      <w:tr>
        <w:trPr>
          <w:jc w:val="center"/>
          <w:trHeight w:val="78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产品名称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品牌及规格型号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单价（元）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3"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合价（元）</w:t>
            </w:r>
            <w:r/>
          </w:p>
        </w:tc>
      </w:tr>
      <w:tr>
        <w:trPr>
          <w:jc w:val="center"/>
          <w:trHeight w:val="69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3"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r>
      <w:tr>
        <w:trPr>
          <w:jc w:val="center"/>
          <w:trHeight w:val="7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3"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r>
      <w:tr>
        <w:trPr>
          <w:jc w:val="center"/>
          <w:trHeight w:val="7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3"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r>
      <w:tr>
        <w:trPr>
          <w:jc w:val="center"/>
          <w:trHeight w:val="6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144"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09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5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436"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15"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03"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default" w:ascii="Arial" w:hAnsi="Arial" w:eastAsia="Arial" w:cs="Times New Roman"/>
                <w:b/>
                <w:bCs w:val="0"/>
                <w:sz w:val="22"/>
                <w:szCs w:val="24"/>
              </w:rPr>
            </w:r>
            <w:r/>
          </w:p>
        </w:tc>
      </w:tr>
      <w:tr>
        <w:trPr>
          <w:cantSplit/>
          <w:jc w:val="center"/>
          <w:trHeight w:val="738"/>
        </w:trPr>
        <w:tc>
          <w:tcPr>
            <w:gridSpan w:val="2"/>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1489" w:type="pct"/>
            <w:vAlign w:val="center"/>
            <w:textDirection w:val="lrTb"/>
            <w:noWrap w:val="false"/>
          </w:tcPr>
          <w:p>
            <w:pPr>
              <w:ind w:firstLine="0"/>
              <w:jc w:val="center"/>
              <w:spacing w:line="240" w:lineRule="auto"/>
              <w:rPr>
                <w:rFonts w:hint="default" w:ascii="Arial" w:hAnsi="Arial" w:eastAsia="Arial" w:cs="Times New Roman"/>
                <w:b/>
                <w:bCs w:val="0"/>
                <w:sz w:val="22"/>
                <w:szCs w:val="24"/>
              </w:rPr>
            </w:pPr>
            <w:r>
              <w:rPr>
                <w:rFonts w:hint="eastAsia" w:ascii="Arial" w:hAnsi="Arial" w:eastAsia="Arial" w:cs="Times New Roman"/>
                <w:b/>
                <w:bCs w:val="0"/>
                <w:sz w:val="22"/>
                <w:szCs w:val="24"/>
              </w:rPr>
              <w:t xml:space="preserve">投标总价</w:t>
            </w:r>
            <w:r/>
          </w:p>
        </w:tc>
        <w:tc>
          <w:tcPr>
            <w:gridSpan w:val="5"/>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3510" w:type="pct"/>
            <w:vAlign w:val="center"/>
            <w:textDirection w:val="lrTb"/>
            <w:noWrap w:val="false"/>
          </w:tcPr>
          <w:p>
            <w:pPr>
              <w:ind w:firstLine="0"/>
              <w:jc w:val="left"/>
              <w:spacing w:line="240" w:lineRule="auto"/>
              <w:rPr>
                <w:rFonts w:hint="default" w:ascii="Arial" w:hAnsi="Arial" w:eastAsia="Arial" w:cs="宋体"/>
                <w:b/>
                <w:bCs w:val="0"/>
                <w:sz w:val="22"/>
                <w:szCs w:val="24"/>
              </w:rPr>
            </w:pPr>
            <w:r>
              <w:rPr>
                <w:rFonts w:hint="eastAsia" w:ascii="Arial" w:hAnsi="Arial" w:eastAsia="Arial" w:cs="Times New Roman"/>
                <w:b w:val="0"/>
                <w:bCs/>
                <w:sz w:val="22"/>
                <w:szCs w:val="24"/>
              </w:rPr>
              <w:t xml:space="preserve">大写：</w:t>
            </w:r>
            <w:r>
              <w:rPr>
                <w:rFonts w:hint="eastAsia" w:ascii="Arial" w:hAnsi="Arial" w:eastAsia="Arial" w:cs="Times New Roman"/>
                <w:b w:val="0"/>
                <w:bCs/>
                <w:sz w:val="22"/>
                <w:szCs w:val="24"/>
                <w:u w:val="single"/>
              </w:rPr>
              <w:t xml:space="preserve">             元</w:t>
            </w:r>
            <w:r>
              <w:rPr>
                <w:rFonts w:hint="eastAsia" w:ascii="Arial" w:hAnsi="Arial" w:eastAsia="Arial" w:cs="Times New Roman"/>
                <w:b w:val="0"/>
                <w:bCs/>
                <w:sz w:val="22"/>
                <w:szCs w:val="24"/>
              </w:rPr>
              <w:t xml:space="preserve">（小写：</w:t>
            </w:r>
            <w:r>
              <w:rPr>
                <w:rFonts w:hint="eastAsia" w:ascii="Arial" w:hAnsi="Arial" w:eastAsia="Arial" w:cs="Times New Roman"/>
                <w:b w:val="0"/>
                <w:bCs/>
                <w:sz w:val="22"/>
                <w:szCs w:val="24"/>
                <w:u w:val="single"/>
              </w:rPr>
              <w:t xml:space="preserve">         </w:t>
            </w:r>
            <w:r>
              <w:rPr>
                <w:rFonts w:hint="eastAsia" w:ascii="Arial" w:hAnsi="Arial" w:eastAsia="Arial" w:cs="Times New Roman"/>
                <w:b w:val="0"/>
                <w:bCs/>
                <w:sz w:val="22"/>
                <w:szCs w:val="24"/>
              </w:rPr>
              <w:t xml:space="preserve">元）</w:t>
            </w:r>
            <w:r/>
          </w:p>
        </w:tc>
      </w:tr>
    </w:tbl>
    <w:p>
      <w:pPr>
        <w:ind w:firstLine="480"/>
        <w:jc w:val="left"/>
        <w:spacing w:line="360" w:lineRule="auto"/>
        <w:rPr>
          <w:rFonts w:hint="default" w:ascii="Calibri" w:hAnsi="Calibri" w:eastAsia="Arial" w:cs="Times New Roman"/>
          <w:sz w:val="22"/>
          <w:szCs w:val="22"/>
        </w:rPr>
      </w:pPr>
      <w:r>
        <w:rPr>
          <w:rFonts w:hint="eastAsia" w:ascii="Calibri" w:hAnsi="Calibri" w:eastAsia="Arial" w:cs="Times New Roman"/>
          <w:sz w:val="22"/>
          <w:szCs w:val="22"/>
        </w:rPr>
        <w:t xml:space="preserve">注：</w:t>
      </w:r>
      <w:r/>
    </w:p>
    <w:p>
      <w:pPr>
        <w:ind w:firstLine="480"/>
        <w:jc w:val="left"/>
        <w:spacing w:line="360" w:lineRule="auto"/>
        <w:rPr>
          <w:rFonts w:hint="default" w:ascii="Arial" w:hAnsi="Arial" w:eastAsia="Arial" w:cs="宋体"/>
          <w:sz w:val="22"/>
          <w:szCs w:val="24"/>
        </w:rPr>
      </w:pPr>
      <w:r>
        <w:rPr>
          <w:rFonts w:hint="eastAsia" w:ascii="Calibri" w:hAnsi="Calibri" w:eastAsia="Arial" w:cs="Times New Roman"/>
          <w:sz w:val="22"/>
          <w:szCs w:val="22"/>
        </w:rPr>
        <w:t xml:space="preserve">（1）</w:t>
      </w:r>
      <w:r>
        <w:rPr>
          <w:rFonts w:hint="eastAsia" w:ascii="Arial" w:hAnsi="Arial" w:eastAsia="Arial" w:cs="宋体"/>
          <w:sz w:val="22"/>
          <w:szCs w:val="24"/>
        </w:rPr>
        <w:t xml:space="preserve">报价除标的物的价款外还应包括（但不限于）标的物、采购、包装、运输、验收、售后服务、货物（含附配件）的价格、安装调试、包装费、运输费、装卸费、保险费、验收费、与各类系统对接、设备接入兼容所需的费用、技术服务费、检测费、售后服务费、保险、招标代理费、规费、税费等全部费用。</w:t>
      </w:r>
      <w:r/>
    </w:p>
    <w:p>
      <w:pPr>
        <w:ind w:firstLine="480"/>
        <w:jc w:val="left"/>
        <w:spacing w:line="360" w:lineRule="auto"/>
        <w:rPr>
          <w:rFonts w:hint="default" w:ascii="Arial" w:hAnsi="Arial" w:eastAsia="Arial" w:cs="宋体"/>
          <w:sz w:val="22"/>
          <w:szCs w:val="24"/>
        </w:rPr>
      </w:pPr>
      <w:r>
        <w:rPr>
          <w:rFonts w:hint="eastAsia" w:ascii="Arial" w:hAnsi="Arial" w:eastAsia="Arial" w:cs="宋体"/>
          <w:sz w:val="22"/>
          <w:szCs w:val="24"/>
        </w:rPr>
        <w:t xml:space="preserve">（2）本项目采用固定综合单价按实结算方式，综合单价不论在何种情况下一律不予调整，供货时按实际供货并通过验收的数量结算。结算价=Σ中标综合单价*实际供货并通过验收的数量。</w:t>
      </w:r>
      <w:r/>
    </w:p>
    <w:p>
      <w:pPr>
        <w:pStyle w:val="690"/>
        <w:jc w:val="both"/>
        <w:spacing w:beforeAutospacing="0" w:afterAutospacing="0"/>
        <w:rPr>
          <w:sz w:val="22"/>
          <w:szCs w:val="22"/>
          <w:highlight w:val="none"/>
          <w:shd w:val="clear" w:color="auto" w:fill="auto"/>
        </w:rPr>
      </w:pPr>
      <w:r>
        <w:rPr>
          <w:sz w:val="22"/>
          <w:szCs w:val="22"/>
          <w:highlight w:val="none"/>
          <w:shd w:val="clear" w:color="auto" w:fill="auto"/>
        </w:rPr>
      </w:r>
      <w:r/>
    </w:p>
    <w:p>
      <w:pPr>
        <w:ind w:firstLine="2240"/>
        <w:jc w:val="right"/>
        <w:spacing w:line="360" w:lineRule="auto"/>
        <w:rPr>
          <w:rFonts w:hint="eastAsia" w:ascii="宋体" w:hAnsi="宋体" w:eastAsia="宋体" w:cs="宋体"/>
          <w:sz w:val="24"/>
          <w:szCs w:val="22"/>
        </w:rPr>
      </w:pPr>
      <w:r>
        <w:rPr>
          <w:rFonts w:hint="eastAsia" w:ascii="宋体" w:hAnsi="宋体" w:eastAsia="宋体" w:cs="宋体"/>
          <w:sz w:val="20"/>
          <w:szCs w:val="22"/>
          <w:highlight w:val="none"/>
          <w:shd w:val="clear" w:color="auto" w:fill="auto"/>
        </w:rPr>
        <w:t xml:space="preserve"> </w:t>
      </w:r>
      <w:r>
        <w:rPr>
          <w:rFonts w:hint="eastAsia" w:ascii="宋体" w:hAnsi="宋体" w:eastAsia="宋体" w:cs="宋体"/>
          <w:sz w:val="24"/>
          <w:szCs w:val="22"/>
        </w:rPr>
        <w:t xml:space="preserve">企业名称（加盖CA电子公章）</w:t>
      </w:r>
      <w:r>
        <w:rPr>
          <w:rFonts w:hint="eastAsia" w:ascii="宋体" w:hAnsi="宋体" w:eastAsia="宋体" w:cs="宋体"/>
          <w:sz w:val="24"/>
          <w:szCs w:val="20"/>
        </w:rPr>
        <w:t xml:space="preserve">：</w:t>
      </w:r>
      <w:r/>
    </w:p>
    <w:p>
      <w:pPr>
        <w:pStyle w:val="690"/>
        <w:jc w:val="right"/>
        <w:spacing w:beforeAutospacing="0" w:afterAutospacing="0" w:line="360" w:lineRule="auto"/>
        <w:rPr>
          <w:rFonts w:hint="eastAsia" w:ascii="宋体" w:hAnsi="宋体" w:eastAsia="宋体" w:cs="宋体"/>
          <w:sz w:val="22"/>
          <w:szCs w:val="22"/>
          <w:highlight w:val="none"/>
          <w:shd w:val="clear" w:color="auto" w:fill="auto"/>
        </w:rPr>
      </w:pP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年</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月</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日</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十三、技术要求响应及偏离表（分包号：**）</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bl>
    <w:p>
      <w:pPr>
        <w:pStyle w:val="69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rPr>
          <w:highlight w:val="none"/>
        </w:rPr>
      </w:pPr>
      <w:r>
        <w:rPr>
          <w:highlight w:val="none"/>
        </w:rPr>
        <w:t xml:space="preserve"> </w:t>
      </w:r>
      <w:r/>
    </w:p>
    <w:p>
      <w:pPr>
        <w:pStyle w:val="690"/>
        <w:jc w:val="center"/>
        <w:spacing w:beforeAutospacing="0" w:afterAutospacing="0"/>
        <w:rPr>
          <w:highlight w:val="none"/>
        </w:rPr>
      </w:pPr>
      <w:r/>
      <w:bookmarkStart w:id="215" w:name="_Hlt26955054"/>
      <w:r>
        <w:rPr>
          <w:rFonts w:hint="eastAsia" w:ascii="黑体" w:hAnsi="宋体" w:eastAsia="黑体" w:cs="黑体"/>
          <w:b/>
          <w:color w:val="000000"/>
          <w:sz w:val="32"/>
          <w:szCs w:val="32"/>
          <w:highlight w:val="none"/>
        </w:rPr>
        <w:t xml:space="preserve">十四、商务要求响应及偏离表（分包号：**）</w:t>
      </w:r>
      <w:r/>
    </w:p>
    <w:tbl>
      <w:tblPr>
        <w:tblStyle w:val="68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bookmarkStart w:id="216" w:name="_Hlt26609391"/>
            <w:r/>
            <w:bookmarkStart w:id="217" w:name="_Hlt26955056"/>
            <w:r/>
            <w:bookmarkStart w:id="218" w:name="_Hlt26671343"/>
            <w:r/>
            <w:bookmarkStart w:id="219" w:name="_Hlt26580838"/>
            <w:r/>
            <w:bookmarkStart w:id="220" w:name="_Hlt26671372"/>
            <w:r/>
            <w:bookmarkStart w:id="221" w:name="_Hlt24879081"/>
            <w:r/>
            <w:bookmarkStart w:id="222" w:name="_Hlt26955064"/>
            <w:r/>
            <w:bookmarkStart w:id="223" w:name="_Hlt26782999"/>
            <w:r>
              <w:rPr>
                <w:rFonts w:hint="eastAsia" w:ascii="宋体" w:hAnsi="宋体" w:eastAsia="宋体" w:cs="宋体"/>
                <w:color w:val="000000"/>
                <w:highlight w:val="none"/>
              </w:rPr>
              <w:t xml:space="preserve">序号</w:t>
            </w:r>
            <w:bookmarkEnd w:id="216"/>
            <w:bookmarkEnd w:id="217"/>
            <w:bookmarkEnd w:id="218"/>
            <w:bookmarkEnd w:id="219"/>
            <w:bookmarkEnd w:id="220"/>
            <w:bookmarkEnd w:id="221"/>
            <w:bookmarkEnd w:id="222"/>
            <w:bookmarkEnd w:id="223"/>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90"/>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90"/>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90"/>
              <w:jc w:val="center"/>
              <w:spacing w:beforeAutospacing="0" w:afterAutospacing="0"/>
              <w:rPr>
                <w:highlight w:val="none"/>
              </w:rPr>
            </w:pPr>
            <w:r>
              <w:rPr>
                <w:highlight w:val="none"/>
              </w:rPr>
              <w:t xml:space="preserve"> </w:t>
            </w:r>
            <w:r/>
          </w:p>
        </w:tc>
      </w:tr>
    </w:tbl>
    <w:p>
      <w:pPr>
        <w:pStyle w:val="690"/>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90"/>
        <w:jc w:val="both"/>
        <w:spacing w:beforeAutospacing="0" w:afterAutospacing="0" w:line="480" w:lineRule="auto"/>
        <w:rPr>
          <w:highlight w:val="none"/>
        </w:rPr>
      </w:pPr>
      <w:r>
        <w:rPr>
          <w:highlight w:val="none"/>
        </w:rPr>
        <w:t xml:space="preserve"> </w:t>
      </w:r>
      <w:r/>
    </w:p>
    <w:p>
      <w:pPr>
        <w:pStyle w:val="690"/>
        <w:jc w:val="both"/>
        <w:spacing w:beforeAutospacing="0" w:afterAutospacing="0" w:line="480" w:lineRule="auto"/>
        <w:rPr>
          <w:highlight w:val="none"/>
        </w:rPr>
      </w:pPr>
      <w:r>
        <w:rPr>
          <w:highlight w:val="none"/>
        </w:rPr>
        <w:t xml:space="preserve"> </w:t>
      </w:r>
      <w:r/>
    </w:p>
    <w:p>
      <w:pPr>
        <w:pStyle w:val="690"/>
        <w:jc w:val="center"/>
        <w:spacing w:beforeAutospacing="0" w:afterAutospacing="0"/>
        <w:rPr>
          <w:highlight w:val="none"/>
        </w:rPr>
      </w:pPr>
      <w:r/>
      <w:bookmarkStart w:id="224" w:name="_Hlt26955066"/>
      <w:r/>
      <w:bookmarkStart w:id="225" w:name="_Hlt26609389"/>
      <w:r/>
      <w:bookmarkStart w:id="226" w:name="_格式2__法定代表人授权书"/>
      <w:r/>
      <w:bookmarkStart w:id="227" w:name="_Toc462564146"/>
      <w:r/>
      <w:bookmarkStart w:id="228" w:name="_Hlt26671374"/>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jc w:val="center"/>
        <w:spacing w:beforeAutospacing="0" w:afterAutospacing="0"/>
        <w:rPr>
          <w:highlight w:val="none"/>
        </w:rPr>
      </w:pPr>
      <w:r>
        <w:rPr>
          <w:highlight w:val="none"/>
        </w:rPr>
        <w:t xml:space="preserve"> </w:t>
      </w:r>
      <w:r/>
    </w:p>
    <w:p>
      <w:pPr>
        <w:pStyle w:val="690"/>
        <w:numPr>
          <w:ilvl w:val="0"/>
          <w:numId w:val="0"/>
        </w:numPr>
        <w:jc w:val="center"/>
        <w:spacing w:beforeAutospacing="0" w:afterAutospacing="0"/>
        <w:rPr>
          <w:rFonts w:hint="eastAsia" w:ascii="黑体" w:hAnsi="宋体" w:eastAsia="黑体" w:cs="黑体"/>
          <w:b/>
          <w:i/>
          <w:color w:val="000000"/>
          <w:sz w:val="32"/>
          <w:szCs w:val="32"/>
          <w:highlight w:val="none"/>
          <w:u w:val="single"/>
        </w:rPr>
      </w:pPr>
      <w:r>
        <w:rPr>
          <w:rFonts w:hint="eastAsia" w:ascii="黑体" w:hAnsi="宋体" w:eastAsia="黑体" w:cs="黑体"/>
          <w:b/>
          <w:i/>
          <w:color w:val="000000"/>
          <w:sz w:val="32"/>
          <w:szCs w:val="32"/>
          <w:lang w:val="en-US" w:eastAsia="zh-CN" w:bidi="ar-SA"/>
        </w:rPr>
        <w:t xml:space="preserve">十五、</w:t>
      </w:r>
      <w:r>
        <w:rPr>
          <w:rFonts w:hint="eastAsia" w:ascii="黑体" w:hAnsi="宋体" w:eastAsia="黑体" w:cs="黑体"/>
          <w:b/>
          <w:i/>
          <w:color w:val="000000"/>
          <w:sz w:val="32"/>
          <w:szCs w:val="32"/>
          <w:highlight w:val="none"/>
          <w:u w:val="single"/>
        </w:rPr>
        <w:t xml:space="preserve">开标一览表</w:t>
      </w:r>
      <w:r/>
    </w:p>
    <w:p>
      <w:pPr>
        <w:pStyle w:val="690"/>
        <w:numPr>
          <w:ilvl w:val="0"/>
          <w:numId w:val="0"/>
        </w:numPr>
        <w:ind w:firstLine="420"/>
        <w:jc w:val="left"/>
        <w:spacing w:beforeAutospacing="0" w:afterAutospacing="0"/>
        <w:rPr>
          <w:highlight w:val="none"/>
          <w:shd w:val="clear" w:color="auto" w:fill="auto"/>
        </w:rPr>
      </w:pPr>
      <w:r>
        <w:rPr>
          <w:rFonts w:ascii="Times New Roman" w:hAnsi="Times New Roman"/>
          <w:color w:val="000000"/>
          <w:sz w:val="21"/>
          <w:szCs w:val="21"/>
          <w:highlight w:val="none"/>
          <w:shd w:val="clear" w:color="auto" w:fill="auto"/>
        </w:rPr>
        <w:t xml:space="preserve">（备注：经办人在有总报价有核心产品时选用。确定后该备注删除。）</w:t>
      </w:r>
      <w:r/>
    </w:p>
    <w:p>
      <w:pPr>
        <w:pStyle w:val="690"/>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p>
    <w:p>
      <w:pPr>
        <w:pStyle w:val="690"/>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p>
    <w:p>
      <w:pPr>
        <w:pStyle w:val="69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p>
    <w:p>
      <w:pPr>
        <w:pStyle w:val="690"/>
        <w:ind w:firstLine="480"/>
        <w:jc w:val="both"/>
        <w:spacing w:beforeAutospacing="0" w:afterAutospacing="0"/>
        <w:rPr>
          <w:highlight w:val="none"/>
        </w:rPr>
      </w:pPr>
      <w:r>
        <w:rPr>
          <w:rFonts w:hint="eastAsia" w:ascii="宋体" w:hAnsi="宋体" w:eastAsia="宋体" w:cs="宋体"/>
          <w:color w:val="000000"/>
          <w:highlight w:val="none"/>
        </w:rPr>
        <w:t xml:space="preserve">分包号：</w:t>
      </w:r>
      <w:r/>
    </w:p>
    <w:tbl>
      <w:tblPr>
        <w:tblStyle w:val="684"/>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jc w:val="center"/>
              <w:spacing w:beforeAutospacing="0" w:afterAutospacing="0"/>
              <w:rPr>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spacing w:beforeAutospacing="0" w:afterAutospacing="0" w:line="0" w:lineRule="atLeast"/>
              <w:rPr>
                <w:rFonts w:hint="default" w:ascii="宋体" w:hAnsi="宋体" w:eastAsia="宋体" w:cs="宋体"/>
                <w:color w:val="000000"/>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9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90"/>
              <w:jc w:val="center"/>
              <w:spacing w:beforeAutospacing="0" w:afterAutospacing="0" w:line="300" w:lineRule="auto"/>
              <w:rPr>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90"/>
              <w:spacing w:beforeAutospacing="0" w:afterAutospacing="0" w:line="0" w:lineRule="atLeast"/>
              <w:rPr>
                <w:highlight w:val="none"/>
              </w:rPr>
            </w:pPr>
            <w:r>
              <w:rPr>
                <w:highlight w:val="none"/>
              </w:rPr>
              <w:t xml:space="preserve"> </w:t>
            </w:r>
            <w:r/>
          </w:p>
        </w:tc>
      </w:tr>
    </w:tbl>
    <w:p>
      <w:pPr>
        <w:pStyle w:val="690"/>
        <w:jc w:val="both"/>
        <w:spacing w:beforeAutospacing="0" w:afterAutospacing="0"/>
        <w:rPr>
          <w:highlight w:val="none"/>
        </w:rPr>
      </w:pPr>
      <w:r>
        <w:rPr>
          <w:highlight w:val="none"/>
        </w:rPr>
        <w:t xml:space="preserve"> </w:t>
      </w:r>
      <w:r/>
    </w:p>
    <w:p>
      <w:pPr>
        <w:pStyle w:val="69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690"/>
        <w:jc w:val="both"/>
        <w:spacing w:beforeAutospacing="0" w:afterAutospacing="0"/>
        <w:rPr>
          <w:highlight w:val="none"/>
        </w:rPr>
      </w:pPr>
      <w:r>
        <w:rPr>
          <w:highlight w:val="none"/>
        </w:rPr>
        <w:t xml:space="preserve"> </w:t>
      </w:r>
      <w:r/>
    </w:p>
    <w:p>
      <w:pPr>
        <w:pStyle w:val="690"/>
        <w:jc w:val="both"/>
        <w:spacing w:beforeAutospacing="0" w:afterAutospacing="0" w:line="0" w:lineRule="atLeast"/>
        <w:rPr>
          <w:highlight w:val="none"/>
          <w:shd w:val="clear" w:color="auto" w:fill="auto"/>
        </w:rPr>
      </w:pPr>
      <w:r>
        <w:rPr>
          <w:highlight w:val="none"/>
          <w:shd w:val="clear" w:color="auto" w:fill="auto"/>
        </w:rPr>
      </w:r>
      <w:r/>
    </w:p>
    <w:p>
      <w:pPr>
        <w:pStyle w:val="690"/>
        <w:jc w:val="center"/>
        <w:spacing w:beforeAutospacing="0" w:afterAutospacing="0"/>
        <w:rPr>
          <w:highlight w:val="none"/>
          <w:shd w:val="clear" w:color="auto" w:fill="auto"/>
        </w:rPr>
      </w:pPr>
      <w:r>
        <w:rPr>
          <w:highlight w:val="none"/>
          <w:shd w:val="clear" w:color="auto" w:fill="auto"/>
        </w:rPr>
        <w:t xml:space="preserve"> </w:t>
      </w:r>
      <w:r/>
    </w:p>
    <w:p>
      <w:pPr>
        <w:pStyle w:val="690"/>
        <w:jc w:val="both"/>
        <w:spacing w:beforeAutospacing="0" w:afterAutospacing="0"/>
        <w:rPr>
          <w:highlight w:val="none"/>
          <w:shd w:val="clear" w:color="auto" w:fill="auto"/>
        </w:rPr>
      </w:pPr>
      <w:r>
        <w:rPr>
          <w:highlight w:val="none"/>
          <w:shd w:val="clear" w:color="auto" w:fill="auto"/>
        </w:rPr>
        <w:t xml:space="preserve"> </w:t>
      </w:r>
      <w:r/>
    </w:p>
    <w:p>
      <w:pPr>
        <w:pStyle w:val="690"/>
        <w:jc w:val="center"/>
        <w:spacing w:beforeAutospacing="0" w:afterAutospacing="0"/>
        <w:rPr>
          <w:rFonts w:ascii="宋体" w:hAnsi="宋体" w:eastAsia="宋体" w:cs="宋体"/>
          <w:b/>
          <w:color w:val="000000"/>
          <w:sz w:val="32"/>
          <w:szCs w:val="32"/>
          <w:highlight w:val="none"/>
          <w:shd w:val="clear" w:color="auto" w:fill="auto"/>
        </w:rPr>
      </w:pPr>
      <w:r>
        <w:rPr>
          <w:rFonts w:ascii="宋体" w:hAnsi="宋体" w:eastAsia="宋体" w:cs="宋体"/>
          <w:b/>
          <w:color w:val="000000"/>
          <w:sz w:val="32"/>
          <w:szCs w:val="32"/>
          <w:highlight w:val="none"/>
          <w:shd w:val="clear" w:color="auto" w:fill="auto"/>
        </w:rPr>
      </w:r>
      <w:r/>
    </w:p>
    <w:p>
      <w:pPr>
        <w:pStyle w:val="690"/>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jc w:val="center"/>
        <w:spacing w:before="50" w:after="50"/>
        <w:widowControl/>
        <w:rPr>
          <w:highlight w:val="none"/>
        </w:rPr>
      </w:pPr>
      <w:r>
        <w:rPr>
          <w:highlight w:val="none"/>
        </w:rPr>
        <w:tab/>
      </w:r>
      <w:r/>
    </w:p>
    <w:p>
      <w:pPr>
        <w:rPr>
          <w:highlight w:val="none"/>
        </w:rPr>
      </w:pPr>
      <w:r>
        <w:rPr>
          <w:highlight w:val="none"/>
        </w:rPr>
        <w:br w:type="page" w:clear="all"/>
      </w:r>
      <w:r/>
    </w:p>
    <w:p>
      <w:pPr>
        <w:jc w:val="center"/>
        <w:spacing w:before="50" w:after="50"/>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十六、技术方案、服务承诺、培训承诺等</w:t>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690"/>
        <w:jc w:val="center"/>
        <w:spacing w:beforeAutospacing="0" w:afterAutospacing="0"/>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ind w:firstLine="1600"/>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90"/>
        <w:jc w:val="center"/>
        <w:spacing w:beforeAutospacing="0" w:afterAutospacing="0"/>
        <w:rPr>
          <w:highlight w:val="none"/>
        </w:rPr>
      </w:pPr>
      <w:r>
        <w:rPr>
          <w:highlight w:val="none"/>
        </w:rPr>
      </w:r>
      <w:bookmarkEnd w:id="6"/>
      <w:bookmarkEnd w:id="37"/>
      <w:bookmarkEnd w:id="38"/>
      <w:bookmarkEnd w:id="39"/>
      <w:bookmarkEnd w:id="40"/>
      <w:bookmarkEnd w:id="41"/>
      <w:bookmarkEnd w:id="42"/>
      <w:bookmarkEnd w:id="43"/>
      <w:bookmarkEnd w:id="44"/>
      <w:bookmarkEnd w:id="45"/>
      <w:bookmarkEnd w:id="46"/>
      <w:bookmarkEnd w:id="47"/>
      <w:bookmarkEnd w:id="48"/>
      <w:bookmarkEnd w:id="188"/>
      <w:bookmarkEnd w:id="203"/>
      <w:bookmarkEnd w:id="206"/>
      <w:bookmarkEnd w:id="207"/>
      <w:bookmarkEnd w:id="208"/>
      <w:bookmarkEnd w:id="209"/>
      <w:bookmarkEnd w:id="211"/>
      <w:bookmarkEnd w:id="212"/>
      <w:bookmarkEnd w:id="213"/>
      <w:bookmarkEnd w:id="215"/>
      <w:bookmarkEnd w:id="224"/>
      <w:bookmarkEnd w:id="225"/>
      <w:bookmarkEnd w:id="226"/>
      <w:bookmarkEnd w:id="227"/>
      <w:bookmarkEnd w:id="228"/>
      <w:r/>
    </w:p>
    <w:p>
      <w:pPr>
        <w:pStyle w:val="690"/>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90"/>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90"/>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90"/>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9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90"/>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90"/>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90"/>
        <w:spacing w:beforeAutospacing="0" w:afterAutospacing="0"/>
        <w:rPr>
          <w:highlight w:val="none"/>
        </w:rPr>
      </w:pPr>
      <w:r>
        <w:rPr>
          <w:highlight w:val="none"/>
        </w:rPr>
      </w:r>
      <w:r/>
    </w:p>
    <w:sectPr>
      <w:footnotePr/>
      <w:endnotePr/>
      <w:type w:val="nextPage"/>
      <w:pgSz w:w="11906" w:h="16838" w:orient="portrait"/>
      <w:pgMar w:top="1440" w:right="1800" w:bottom="1440" w:left="1800" w:header="794" w:footer="794"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仿宋_GB2312">
    <w:panose1 w:val="02010609060101010101"/>
  </w:font>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
  </w:p>
  <w:p>
    <w:pPr>
      <w:pStyle w:val="6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8"/>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88"/>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w:t>
                    </w:r>
                    <w:r/>
                  </w:p>
                </w:txbxContent>
              </v:textbox>
            </v:shape>
          </w:pict>
        </mc:Fallback>
      </mc:AlternateContent>
    </w:r>
    <w:r/>
  </w:p>
  <w:p>
    <w:pPr>
      <w:pStyle w:val="6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9"/>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2"/>
  </w:num>
  <w:num w:numId="4">
    <w:abstractNumId w:val="8"/>
  </w:num>
  <w:num w:numId="5">
    <w:abstractNumId w:val="4"/>
    <w:lvlOverride w:ilvl="0">
      <w:startOverride w:val="2"/>
    </w:lvlOverride>
  </w:num>
  <w:num w:numId="6">
    <w:abstractNumId w:val="3"/>
    <w:lvlOverride w:ilvl="0">
      <w:startOverride w:val="6"/>
    </w:lvlOverride>
  </w:num>
  <w:num w:numId="7">
    <w:abstractNumId w:val="0"/>
    <w:lvlOverride w:ilvl="0">
      <w:startOverride w:val="16"/>
    </w:lvlOverride>
  </w:num>
  <w:num w:numId="8">
    <w:abstractNumId w:val="5"/>
    <w:lvlOverride w:ilvl="0">
      <w:startOverride w:val="23"/>
    </w:lvlOverride>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1"/>
    <w:next w:val="68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3"/>
    <w:link w:val="12"/>
    <w:uiPriority w:val="9"/>
    <w:rPr>
      <w:rFonts w:ascii="Arial" w:hAnsi="Arial" w:eastAsia="Arial" w:cs="Arial"/>
      <w:sz w:val="40"/>
      <w:szCs w:val="40"/>
    </w:rPr>
  </w:style>
  <w:style w:type="character" w:styleId="15">
    <w:name w:val="Heading 2 Char"/>
    <w:basedOn w:val="683"/>
    <w:link w:val="682"/>
    <w:uiPriority w:val="9"/>
    <w:rPr>
      <w:rFonts w:ascii="Arial" w:hAnsi="Arial" w:eastAsia="Arial" w:cs="Arial"/>
      <w:sz w:val="34"/>
    </w:rPr>
  </w:style>
  <w:style w:type="paragraph" w:styleId="16">
    <w:name w:val="Heading 3"/>
    <w:basedOn w:val="681"/>
    <w:next w:val="68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83"/>
    <w:link w:val="16"/>
    <w:uiPriority w:val="9"/>
    <w:rPr>
      <w:rFonts w:ascii="Arial" w:hAnsi="Arial" w:eastAsia="Arial" w:cs="Arial"/>
      <w:sz w:val="30"/>
      <w:szCs w:val="30"/>
    </w:rPr>
  </w:style>
  <w:style w:type="paragraph" w:styleId="18">
    <w:name w:val="Heading 4"/>
    <w:basedOn w:val="681"/>
    <w:next w:val="68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83"/>
    <w:link w:val="18"/>
    <w:uiPriority w:val="9"/>
    <w:rPr>
      <w:rFonts w:ascii="Arial" w:hAnsi="Arial" w:eastAsia="Arial" w:cs="Arial"/>
      <w:b/>
      <w:bCs/>
      <w:sz w:val="26"/>
      <w:szCs w:val="26"/>
    </w:rPr>
  </w:style>
  <w:style w:type="paragraph" w:styleId="20">
    <w:name w:val="Heading 5"/>
    <w:basedOn w:val="681"/>
    <w:next w:val="68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3"/>
    <w:link w:val="20"/>
    <w:uiPriority w:val="9"/>
    <w:rPr>
      <w:rFonts w:ascii="Arial" w:hAnsi="Arial" w:eastAsia="Arial" w:cs="Arial"/>
      <w:b/>
      <w:bCs/>
      <w:sz w:val="24"/>
      <w:szCs w:val="24"/>
    </w:rPr>
  </w:style>
  <w:style w:type="paragraph" w:styleId="22">
    <w:name w:val="Heading 6"/>
    <w:basedOn w:val="681"/>
    <w:next w:val="68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3"/>
    <w:link w:val="22"/>
    <w:uiPriority w:val="9"/>
    <w:rPr>
      <w:rFonts w:ascii="Arial" w:hAnsi="Arial" w:eastAsia="Arial" w:cs="Arial"/>
      <w:b/>
      <w:bCs/>
      <w:sz w:val="22"/>
      <w:szCs w:val="22"/>
    </w:rPr>
  </w:style>
  <w:style w:type="paragraph" w:styleId="24">
    <w:name w:val="Heading 7"/>
    <w:basedOn w:val="681"/>
    <w:next w:val="68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3"/>
    <w:link w:val="24"/>
    <w:uiPriority w:val="9"/>
    <w:rPr>
      <w:rFonts w:ascii="Arial" w:hAnsi="Arial" w:eastAsia="Arial" w:cs="Arial"/>
      <w:b/>
      <w:bCs/>
      <w:i/>
      <w:iCs/>
      <w:sz w:val="22"/>
      <w:szCs w:val="22"/>
    </w:rPr>
  </w:style>
  <w:style w:type="paragraph" w:styleId="26">
    <w:name w:val="Heading 8"/>
    <w:basedOn w:val="681"/>
    <w:next w:val="68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3"/>
    <w:link w:val="26"/>
    <w:uiPriority w:val="9"/>
    <w:rPr>
      <w:rFonts w:ascii="Arial" w:hAnsi="Arial" w:eastAsia="Arial" w:cs="Arial"/>
      <w:i/>
      <w:iCs/>
      <w:sz w:val="22"/>
      <w:szCs w:val="22"/>
    </w:rPr>
  </w:style>
  <w:style w:type="paragraph" w:styleId="28">
    <w:name w:val="Heading 9"/>
    <w:basedOn w:val="681"/>
    <w:next w:val="68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3"/>
    <w:link w:val="28"/>
    <w:uiPriority w:val="9"/>
    <w:rPr>
      <w:rFonts w:ascii="Arial" w:hAnsi="Arial" w:eastAsia="Arial" w:cs="Arial"/>
      <w:i/>
      <w:iCs/>
      <w:sz w:val="21"/>
      <w:szCs w:val="21"/>
    </w:rPr>
  </w:style>
  <w:style w:type="paragraph" w:styleId="30">
    <w:name w:val="List Paragraph"/>
    <w:basedOn w:val="68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1"/>
    <w:next w:val="681"/>
    <w:link w:val="34"/>
    <w:uiPriority w:val="10"/>
    <w:qFormat/>
    <w:pPr>
      <w:contextualSpacing/>
      <w:spacing w:before="300" w:after="200"/>
    </w:pPr>
    <w:rPr>
      <w:sz w:val="48"/>
      <w:szCs w:val="48"/>
    </w:rPr>
  </w:style>
  <w:style w:type="character" w:styleId="34">
    <w:name w:val="Title Char"/>
    <w:basedOn w:val="683"/>
    <w:link w:val="33"/>
    <w:uiPriority w:val="10"/>
    <w:rPr>
      <w:sz w:val="48"/>
      <w:szCs w:val="48"/>
    </w:rPr>
  </w:style>
  <w:style w:type="paragraph" w:styleId="35">
    <w:name w:val="Subtitle"/>
    <w:basedOn w:val="681"/>
    <w:next w:val="681"/>
    <w:link w:val="36"/>
    <w:uiPriority w:val="11"/>
    <w:qFormat/>
    <w:pPr>
      <w:spacing w:before="200" w:after="200"/>
    </w:pPr>
    <w:rPr>
      <w:sz w:val="24"/>
      <w:szCs w:val="24"/>
    </w:rPr>
  </w:style>
  <w:style w:type="character" w:styleId="36">
    <w:name w:val="Subtitle Char"/>
    <w:basedOn w:val="683"/>
    <w:link w:val="35"/>
    <w:uiPriority w:val="11"/>
    <w:rPr>
      <w:sz w:val="24"/>
      <w:szCs w:val="24"/>
    </w:rPr>
  </w:style>
  <w:style w:type="paragraph" w:styleId="37">
    <w:name w:val="Quote"/>
    <w:basedOn w:val="681"/>
    <w:next w:val="681"/>
    <w:link w:val="38"/>
    <w:uiPriority w:val="29"/>
    <w:qFormat/>
    <w:pPr>
      <w:ind w:left="720" w:right="720"/>
    </w:pPr>
    <w:rPr>
      <w:i/>
    </w:rPr>
  </w:style>
  <w:style w:type="character" w:styleId="38">
    <w:name w:val="Quote Char"/>
    <w:link w:val="37"/>
    <w:uiPriority w:val="29"/>
    <w:rPr>
      <w:i/>
    </w:rPr>
  </w:style>
  <w:style w:type="paragraph" w:styleId="39">
    <w:name w:val="Intense Quote"/>
    <w:basedOn w:val="681"/>
    <w:next w:val="68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3"/>
    <w:link w:val="689"/>
    <w:uiPriority w:val="99"/>
  </w:style>
  <w:style w:type="character" w:styleId="44">
    <w:name w:val="Footer Char"/>
    <w:basedOn w:val="683"/>
    <w:link w:val="688"/>
    <w:uiPriority w:val="99"/>
  </w:style>
  <w:style w:type="paragraph" w:styleId="45">
    <w:name w:val="Caption"/>
    <w:basedOn w:val="681"/>
    <w:next w:val="681"/>
    <w:uiPriority w:val="35"/>
    <w:semiHidden/>
    <w:unhideWhenUsed/>
    <w:qFormat/>
    <w:pPr>
      <w:spacing w:line="276" w:lineRule="auto"/>
    </w:pPr>
    <w:rPr>
      <w:b/>
      <w:bCs/>
      <w:color w:val="4f81bd" w:themeColor="accent1"/>
      <w:sz w:val="18"/>
      <w:szCs w:val="18"/>
    </w:rPr>
  </w:style>
  <w:style w:type="character" w:styleId="46">
    <w:name w:val="Caption Char"/>
    <w:basedOn w:val="45"/>
    <w:link w:val="688"/>
    <w:uiPriority w:val="99"/>
  </w:style>
  <w:style w:type="table" w:styleId="48">
    <w:name w:val="Table Grid Light"/>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3"/>
    <w:uiPriority w:val="99"/>
    <w:unhideWhenUsed/>
    <w:rPr>
      <w:vertAlign w:val="superscript"/>
    </w:rPr>
  </w:style>
  <w:style w:type="paragraph" w:styleId="177">
    <w:name w:val="endnote text"/>
    <w:basedOn w:val="68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3"/>
    <w:uiPriority w:val="99"/>
    <w:semiHidden/>
    <w:unhideWhenUsed/>
    <w:rPr>
      <w:vertAlign w:val="superscript"/>
    </w:rPr>
  </w:style>
  <w:style w:type="paragraph" w:styleId="180">
    <w:name w:val="toc 1"/>
    <w:basedOn w:val="681"/>
    <w:next w:val="681"/>
    <w:uiPriority w:val="39"/>
    <w:unhideWhenUsed/>
    <w:pPr>
      <w:ind w:left="0" w:right="0" w:firstLine="0"/>
      <w:spacing w:after="57"/>
    </w:pPr>
  </w:style>
  <w:style w:type="paragraph" w:styleId="181">
    <w:name w:val="toc 2"/>
    <w:basedOn w:val="681"/>
    <w:next w:val="681"/>
    <w:uiPriority w:val="39"/>
    <w:unhideWhenUsed/>
    <w:pPr>
      <w:ind w:left="283" w:right="0" w:firstLine="0"/>
      <w:spacing w:after="57"/>
    </w:pPr>
  </w:style>
  <w:style w:type="paragraph" w:styleId="182">
    <w:name w:val="toc 3"/>
    <w:basedOn w:val="681"/>
    <w:next w:val="681"/>
    <w:uiPriority w:val="39"/>
    <w:unhideWhenUsed/>
    <w:pPr>
      <w:ind w:left="567" w:right="0" w:firstLine="0"/>
      <w:spacing w:after="57"/>
    </w:pPr>
  </w:style>
  <w:style w:type="paragraph" w:styleId="183">
    <w:name w:val="toc 4"/>
    <w:basedOn w:val="681"/>
    <w:next w:val="681"/>
    <w:uiPriority w:val="39"/>
    <w:unhideWhenUsed/>
    <w:pPr>
      <w:ind w:left="850" w:right="0" w:firstLine="0"/>
      <w:spacing w:after="57"/>
    </w:pPr>
  </w:style>
  <w:style w:type="paragraph" w:styleId="184">
    <w:name w:val="toc 5"/>
    <w:basedOn w:val="681"/>
    <w:next w:val="681"/>
    <w:uiPriority w:val="39"/>
    <w:unhideWhenUsed/>
    <w:pPr>
      <w:ind w:left="1134" w:right="0" w:firstLine="0"/>
      <w:spacing w:after="57"/>
    </w:pPr>
  </w:style>
  <w:style w:type="paragraph" w:styleId="185">
    <w:name w:val="toc 6"/>
    <w:basedOn w:val="681"/>
    <w:next w:val="681"/>
    <w:uiPriority w:val="39"/>
    <w:unhideWhenUsed/>
    <w:pPr>
      <w:ind w:left="1417" w:right="0" w:firstLine="0"/>
      <w:spacing w:after="57"/>
    </w:pPr>
  </w:style>
  <w:style w:type="paragraph" w:styleId="186">
    <w:name w:val="toc 7"/>
    <w:basedOn w:val="681"/>
    <w:next w:val="681"/>
    <w:uiPriority w:val="39"/>
    <w:unhideWhenUsed/>
    <w:pPr>
      <w:ind w:left="1701" w:right="0" w:firstLine="0"/>
      <w:spacing w:after="57"/>
    </w:pPr>
  </w:style>
  <w:style w:type="paragraph" w:styleId="187">
    <w:name w:val="toc 8"/>
    <w:basedOn w:val="681"/>
    <w:next w:val="681"/>
    <w:uiPriority w:val="39"/>
    <w:unhideWhenUsed/>
    <w:pPr>
      <w:ind w:left="1984" w:right="0" w:firstLine="0"/>
      <w:spacing w:after="57"/>
    </w:pPr>
  </w:style>
  <w:style w:type="paragraph" w:styleId="188">
    <w:name w:val="toc 9"/>
    <w:basedOn w:val="681"/>
    <w:next w:val="68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1"/>
    <w:next w:val="681"/>
    <w:uiPriority w:val="99"/>
    <w:unhideWhenUsed/>
    <w:pPr>
      <w:spacing w:after="0" w:afterAutospacing="0"/>
    </w:pPr>
  </w:style>
  <w:style w:type="paragraph" w:styleId="68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82">
    <w:name w:val="Heading 2"/>
    <w:basedOn w:val="681"/>
    <w:next w:val="68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83" w:default="1">
    <w:name w:val="Default Paragraph Font"/>
    <w:uiPriority w:val="1"/>
    <w:semiHidden/>
    <w:unhideWhenUsed/>
    <w:qFormat/>
  </w:style>
  <w:style w:type="table" w:styleId="684" w:default="1">
    <w:name w:val="Normal Table"/>
    <w:uiPriority w:val="99"/>
    <w:semiHidden/>
    <w:unhideWhenUsed/>
    <w:qFormat/>
    <w:tblPr>
      <w:tblCellMar>
        <w:left w:w="108" w:type="dxa"/>
        <w:top w:w="0" w:type="dxa"/>
        <w:right w:w="108" w:type="dxa"/>
        <w:bottom w:w="0" w:type="dxa"/>
      </w:tblCellMar>
    </w:tblPr>
  </w:style>
  <w:style w:type="paragraph" w:styleId="685">
    <w:name w:val="annotation text"/>
    <w:basedOn w:val="681"/>
    <w:uiPriority w:val="0"/>
    <w:qFormat/>
    <w:pPr>
      <w:jc w:val="left"/>
    </w:pPr>
  </w:style>
  <w:style w:type="paragraph" w:styleId="686">
    <w:name w:val="Body Text"/>
    <w:basedOn w:val="681"/>
    <w:next w:val="681"/>
    <w:uiPriority w:val="0"/>
    <w:unhideWhenUsed/>
    <w:qFormat/>
    <w:pPr>
      <w:spacing w:after="120"/>
    </w:pPr>
    <w:rPr>
      <w:rFonts w:ascii="Calibri" w:hAnsi="Calibri"/>
      <w:szCs w:val="22"/>
    </w:rPr>
  </w:style>
  <w:style w:type="paragraph" w:styleId="687">
    <w:name w:val="Plain Text"/>
    <w:basedOn w:val="681"/>
    <w:uiPriority w:val="0"/>
    <w:unhideWhenUsed/>
    <w:qFormat/>
    <w:rPr>
      <w:rFonts w:ascii="宋体" w:hAnsi="Courier New" w:cs="Courier New"/>
      <w:szCs w:val="21"/>
    </w:rPr>
  </w:style>
  <w:style w:type="paragraph" w:styleId="688">
    <w:name w:val="Footer"/>
    <w:basedOn w:val="681"/>
    <w:link w:val="696"/>
    <w:uiPriority w:val="0"/>
    <w:qFormat/>
    <w:pPr>
      <w:jc w:val="left"/>
      <w:tabs>
        <w:tab w:val="center" w:pos="4153" w:leader="none"/>
        <w:tab w:val="right" w:pos="8306" w:leader="none"/>
      </w:tabs>
    </w:pPr>
    <w:rPr>
      <w:sz w:val="18"/>
      <w:szCs w:val="18"/>
    </w:rPr>
  </w:style>
  <w:style w:type="paragraph" w:styleId="689">
    <w:name w:val="Header"/>
    <w:basedOn w:val="681"/>
    <w:link w:val="695"/>
    <w:uiPriority w:val="0"/>
    <w:qFormat/>
    <w:pPr>
      <w:jc w:val="center"/>
      <w:tabs>
        <w:tab w:val="center" w:pos="4153" w:leader="none"/>
        <w:tab w:val="right" w:pos="8306" w:leader="none"/>
      </w:tabs>
      <w:pBdr>
        <w:bottom w:val="single" w:color="auto" w:sz="6" w:space="1"/>
      </w:pBdr>
    </w:pPr>
    <w:rPr>
      <w:sz w:val="18"/>
      <w:szCs w:val="18"/>
    </w:rPr>
  </w:style>
  <w:style w:type="paragraph" w:styleId="690">
    <w:name w:val="Normal (Web)"/>
    <w:basedOn w:val="681"/>
    <w:uiPriority w:val="0"/>
    <w:qFormat/>
    <w:pPr>
      <w:jc w:val="left"/>
      <w:spacing w:beforeAutospacing="1" w:afterAutospacing="1"/>
    </w:pPr>
    <w:rPr>
      <w:rFonts w:cs="Times New Roman"/>
      <w:sz w:val="24"/>
    </w:rPr>
  </w:style>
  <w:style w:type="table" w:styleId="691">
    <w:name w:val="Table Grid"/>
    <w:basedOn w:val="68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Strong"/>
    <w:basedOn w:val="683"/>
    <w:uiPriority w:val="0"/>
    <w:qFormat/>
    <w:rPr>
      <w:b/>
    </w:rPr>
  </w:style>
  <w:style w:type="paragraph" w:styleId="693" w:customStyle="1">
    <w:name w:val="BodyText"/>
    <w:basedOn w:val="681"/>
    <w:uiPriority w:val="0"/>
    <w:qFormat/>
    <w:pPr>
      <w:spacing w:after="120"/>
    </w:pPr>
    <w:rPr>
      <w:rFonts w:ascii="Calibri"/>
      <w:sz w:val="20"/>
    </w:rPr>
  </w:style>
  <w:style w:type="paragraph" w:styleId="694" w:customStyle="1">
    <w:name w:val="Default"/>
    <w:basedOn w:val="681"/>
    <w:uiPriority w:val="0"/>
    <w:semiHidden/>
    <w:qFormat/>
    <w:pPr>
      <w:jc w:val="left"/>
    </w:pPr>
    <w:rPr>
      <w:rFonts w:ascii="宋体" w:hAnsi="Calibri" w:cs="宋体"/>
      <w:color w:val="000000"/>
      <w:sz w:val="24"/>
    </w:rPr>
  </w:style>
  <w:style w:type="character" w:styleId="695" w:customStyle="1">
    <w:name w:val="页眉 Char"/>
    <w:basedOn w:val="683"/>
    <w:link w:val="689"/>
    <w:uiPriority w:val="0"/>
    <w:qFormat/>
    <w:rPr>
      <w:rFonts w:asciiTheme="minorHAnsi" w:hAnsiTheme="minorHAnsi" w:eastAsiaTheme="minorEastAsia" w:cstheme="minorBidi"/>
      <w:sz w:val="18"/>
      <w:szCs w:val="18"/>
    </w:rPr>
  </w:style>
  <w:style w:type="character" w:styleId="696" w:customStyle="1">
    <w:name w:val="页脚 Char"/>
    <w:basedOn w:val="683"/>
    <w:link w:val="688"/>
    <w:uiPriority w:val="0"/>
    <w:qFormat/>
    <w:rPr>
      <w:rFonts w:asciiTheme="minorHAnsi" w:hAnsiTheme="minorHAnsi" w:eastAsiaTheme="minorEastAsia" w:cstheme="minorBidi"/>
      <w:sz w:val="18"/>
      <w:szCs w:val="18"/>
    </w:rPr>
  </w:style>
  <w:style w:type="paragraph" w:styleId="6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98" w:customStyle="1">
    <w:name w:val="页脚1"/>
    <w:basedOn w:val="681"/>
    <w:uiPriority w:val="99"/>
    <w:unhideWhenUsed/>
    <w:qFormat/>
    <w:pPr>
      <w:jc w:val="left"/>
      <w:tabs>
        <w:tab w:val="center" w:pos="4153" w:leader="none"/>
        <w:tab w:val="right" w:pos="8306" w:leader="none"/>
      </w:tabs>
    </w:pPr>
    <w:rPr>
      <w:sz w:val="18"/>
      <w:szCs w:val="18"/>
    </w:rPr>
  </w:style>
  <w:style w:type="paragraph" w:styleId="699" w:customStyle="1">
    <w:name w:val="普通正文"/>
    <w:basedOn w:val="681"/>
    <w:uiPriority w:val="0"/>
    <w:qFormat/>
    <w:pPr>
      <w:ind w:firstLine="480"/>
      <w:jc w:val="left"/>
      <w:spacing w:before="120" w:after="120" w:line="360" w:lineRule="auto"/>
    </w:pPr>
    <w:rPr>
      <w:rFonts w:ascii="Arial" w:hAnsi="Arial" w:eastAsia="等线" w:cs="Arial"/>
      <w:sz w:val="24"/>
      <w:szCs w:val="24"/>
    </w:rPr>
  </w:style>
  <w:style w:type="paragraph" w:styleId="700" w:customStyle="1">
    <w:name w:val="正文首行缩进 21"/>
    <w:basedOn w:val="701"/>
    <w:uiPriority w:val="0"/>
    <w:qFormat/>
    <w:pPr>
      <w:ind w:firstLine="420"/>
    </w:pPr>
  </w:style>
  <w:style w:type="paragraph" w:styleId="701" w:customStyle="1">
    <w:name w:val="正文文本缩进1"/>
    <w:basedOn w:val="681"/>
    <w:uiPriority w:val="0"/>
    <w:qFormat/>
    <w:pPr>
      <w:ind w:left="420"/>
      <w:spacing w:after="120"/>
    </w:pPr>
  </w:style>
  <w:style w:type="paragraph" w:styleId="702" w:customStyle="1">
    <w:name w:val="表格"/>
    <w:basedOn w:val="681"/>
    <w:uiPriority w:val="0"/>
    <w:qFormat/>
    <w:pPr>
      <w:ind w:firstLine="0"/>
      <w:jc w:val="center"/>
      <w:spacing w:line="240" w:lineRule="auto"/>
    </w:pPr>
    <w:rPr>
      <w:sz w:val="24"/>
    </w:rPr>
  </w:style>
  <w:style w:type="character" w:styleId="703" w:customStyle="1">
    <w:name w:val="font21"/>
    <w:basedOn w:val="683"/>
    <w:uiPriority w:val="0"/>
    <w:qFormat/>
    <w:rPr>
      <w:rFonts w:ascii="Wingdings 2" w:hAnsi="Wingdings 2" w:eastAsia="Wingdings 2" w:cs="Wingdings 2"/>
      <w:color w:val="000000"/>
      <w:sz w:val="20"/>
      <w:szCs w:val="20"/>
      <w:u w:val="none"/>
    </w:rPr>
  </w:style>
  <w:style w:type="character" w:styleId="704" w:customStyle="1">
    <w:name w:val="font11"/>
    <w:basedOn w:val="683"/>
    <w:uiPriority w:val="0"/>
    <w:qFormat/>
    <w:rPr>
      <w:rFonts w:hint="eastAsia" w:ascii="宋体" w:hAnsi="宋体" w:eastAsia="宋体" w:cs="宋体"/>
      <w:color w:val="000000"/>
      <w:sz w:val="20"/>
      <w:szCs w:val="20"/>
      <w:u w:val="none"/>
    </w:rPr>
  </w:style>
  <w:style w:type="character" w:styleId="705" w:customStyle="1">
    <w:name w:val="font51"/>
    <w:basedOn w:val="683"/>
    <w:uiPriority w:val="0"/>
    <w:qFormat/>
    <w:rPr>
      <w:rFonts w:hint="eastAsia" w:ascii="宋体" w:hAnsi="宋体" w:eastAsia="宋体" w:cs="宋体"/>
      <w:color w:val="ff0000"/>
      <w:sz w:val="20"/>
      <w:szCs w:val="20"/>
      <w:u w:val="none"/>
    </w:rPr>
  </w:style>
  <w:style w:type="numbering" w:styleId="173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李翠兰</cp:lastModifiedBy>
  <cp:revision>120</cp:revision>
  <dcterms:created xsi:type="dcterms:W3CDTF">2014-10-29T12:08:00Z</dcterms:created>
  <dcterms:modified xsi:type="dcterms:W3CDTF">2025-12-30T06:32:12Z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85114523F754412A9D75CA4C9CEA3594_13</vt:lpwstr>
  </property>
  <property fmtid="{D5CDD505-2E9C-101B-9397-08002B2CF9AE}" pid="4" name="KSOTemplateDocerSaveRecord">
    <vt:lpwstr>eyJoZGlkIjoiYTQwMmNkMzY1Mzg3M2Y1OWNkNjAzOGE5YWM0NjNiNmMiLCJ1c2VySWQiOiI1Nzk3MzIxOTcifQ==</vt:lpwstr>
  </property>
</Properties>
</file>